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440118-2026-00564</w:t>
      </w:r>
    </w:p>
    <w:p>
      <w:pPr>
        <w:pStyle w:val="null3"/>
        <w:jc w:val="center"/>
        <w:outlineLvl w:val="3"/>
      </w:pPr>
      <w:r>
        <w:rPr>
          <w:sz w:val="24"/>
          <w:b/>
        </w:rPr>
        <w:t>采购项目编号：</w:t>
      </w:r>
      <w:r>
        <w:rPr>
          <w:sz w:val="24"/>
          <w:b/>
        </w:rPr>
        <w:t>FCC2026-0006</w:t>
      </w:r>
    </w:p>
    <w:p>
      <w:pPr>
        <w:pStyle w:val="null3"/>
        <w:jc w:val="center"/>
        <w:outlineLvl w:val="3"/>
      </w:pPr>
      <w:r>
        <w:rPr>
          <w:sz w:val="24"/>
          <w:b/>
        </w:rPr>
        <w:t>项目名称：</w:t>
      </w:r>
      <w:r>
        <w:rPr>
          <w:sz w:val="24"/>
          <w:b/>
        </w:rPr>
        <w:t>广州市增城区中医医院2026年度市场化购电项目</w:t>
      </w:r>
    </w:p>
    <w:p>
      <w:pPr>
        <w:pStyle w:val="null3"/>
        <w:jc w:val="center"/>
        <w:outlineLvl w:val="3"/>
      </w:pPr>
      <w:r>
        <w:rPr>
          <w:sz w:val="24"/>
          <w:b/>
        </w:rPr>
        <w:t>采购人：</w:t>
      </w:r>
      <w:r>
        <w:rPr>
          <w:sz w:val="24"/>
          <w:b/>
        </w:rPr>
        <w:t>广州市增城区中医医院</w:t>
      </w:r>
    </w:p>
    <w:p>
      <w:pPr>
        <w:pStyle w:val="null3"/>
        <w:jc w:val="center"/>
        <w:outlineLvl w:val="3"/>
      </w:pPr>
      <w:r>
        <w:rPr>
          <w:sz w:val="24"/>
          <w:b/>
        </w:rPr>
        <w:t>采购代理机构：</w:t>
      </w:r>
      <w:r>
        <w:rPr>
          <w:sz w:val="24"/>
          <w:b/>
        </w:rPr>
        <w:t>广东城华工程咨询有限公司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广东城华工程咨询有限公司</w:t>
      </w:r>
      <w:r>
        <w:rPr/>
        <w:t>受</w:t>
      </w:r>
      <w:r>
        <w:rPr/>
        <w:t>广州市增城区中医医院</w:t>
      </w:r>
      <w:r>
        <w:rPr/>
        <w:t>的委托，采用</w:t>
      </w:r>
      <w:r>
        <w:rPr/>
        <w:t>竞争性磋商</w:t>
      </w:r>
      <w:r>
        <w:rPr/>
        <w:t>方式组织采购</w:t>
      </w:r>
      <w:r>
        <w:rPr/>
        <w:t>广州市增城区中医医院2026年度市场化购电项目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广州市增城区中医医院2026年度市场化购电项目</w:t>
      </w:r>
    </w:p>
    <w:p>
      <w:pPr>
        <w:pStyle w:val="null3"/>
        <w:ind w:firstLine="480"/>
      </w:pPr>
      <w:r>
        <w:rPr/>
        <w:t>采购计划编号：</w:t>
      </w:r>
      <w:r>
        <w:rPr/>
        <w:t>440118-2026-00564</w:t>
      </w:r>
    </w:p>
    <w:p>
      <w:pPr>
        <w:pStyle w:val="null3"/>
        <w:ind w:firstLine="480"/>
      </w:pPr>
      <w:r>
        <w:rPr/>
        <w:t>采购项目编号：</w:t>
      </w:r>
      <w:r>
        <w:rPr/>
        <w:t>FCC2026-0006</w:t>
      </w:r>
    </w:p>
    <w:p>
      <w:pPr>
        <w:pStyle w:val="null3"/>
        <w:ind w:firstLine="480"/>
      </w:pPr>
      <w:r>
        <w:rPr/>
        <w:t>采购方式：</w:t>
      </w:r>
      <w:r>
        <w:rPr/>
        <w:t>竞争性磋商</w:t>
      </w:r>
    </w:p>
    <w:p>
      <w:pPr>
        <w:pStyle w:val="null3"/>
        <w:ind w:firstLine="480"/>
      </w:pPr>
      <w:r>
        <w:rPr/>
        <w:t>预算金额：</w:t>
      </w:r>
      <w:r>
        <w:rPr/>
        <w:t>3,480,000.00</w:t>
      </w:r>
      <w:r>
        <w:rPr/>
        <w:t>元</w:t>
      </w:r>
    </w:p>
    <w:p>
      <w:pPr>
        <w:pStyle w:val="null3"/>
        <w:outlineLvl w:val="3"/>
      </w:pPr>
      <w:r>
        <w:rPr>
          <w:sz w:val="24"/>
          <w:b/>
        </w:rPr>
        <w:t>2.项目内容及需求情况（采购项目技术规格、参数及要求）</w:t>
      </w:r>
    </w:p>
    <w:p>
      <w:pPr>
        <w:pStyle w:val="null3"/>
      </w:pPr>
      <w:r>
        <w:rPr/>
        <w:t>采购包1(广州市增城区中医医院2026年度市场化购电项目):</w:t>
      </w:r>
    </w:p>
    <w:p>
      <w:pPr>
        <w:pStyle w:val="null3"/>
      </w:pPr>
      <w:r>
        <w:rPr/>
        <w:t>采购包预算金额：3,480,000.00元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合同能源管理服务</w:t>
            </w:r>
          </w:p>
        </w:tc>
        <w:tc>
          <w:tcPr>
            <w:tcW w:type="dxa" w:w="2052"/>
          </w:tcPr>
          <w:p>
            <w:pPr>
              <w:pStyle w:val="null3"/>
            </w:pPr>
            <w:r>
              <w:rPr/>
              <w:t>医院市场化购电项目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3,480,000.00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合同履行期限：自签订合同开始履约起一年。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政府采购供应商信用承诺函》格式见公告附件及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2）有依法缴纳税收和社会保障资金的良好记录：提供相应证明材料或《政府采购供应商信用承诺函》格式见公告附件。</w:t>
      </w:r>
    </w:p>
    <w:p>
      <w:pPr>
        <w:pStyle w:val="null3"/>
      </w:pPr>
      <w:r>
        <w:rPr/>
        <w:t>3）具有良好的商业信誉和健全的财务会计制度：提供相应证明材料或《政府采购供应商信用承诺函》格式见公告附件。</w:t>
      </w:r>
    </w:p>
    <w:p>
      <w:pPr>
        <w:pStyle w:val="null3"/>
      </w:pPr>
      <w:r>
        <w:rPr/>
        <w:t>4）履行合同所必需的设备和专业技术能力：提供相应证明材料或《政府采购供应商信用承诺函》格式见公告附件。</w:t>
      </w:r>
    </w:p>
    <w:p>
      <w:pPr>
        <w:pStyle w:val="null3"/>
      </w:pPr>
      <w:r>
        <w:rPr/>
        <w:t>5）参加采购活动前3年内，在经营活动中没有重大违法记录：提供相应证明材料或《政府采购供应商信用承诺函》格式见公告附件。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采购包1（广州市增城区中医医院2026年度市场化购电项目）：</w:t>
      </w:r>
      <w:r>
        <w:rPr/>
        <w:t>采购包整体专门面向中小微企业进行采购，提供服务的供应商应属于依据国务院批准的中型或小型或微型企业或属于监狱企业或残疾人福利性单位，但与大企业的负责人为同一人，或者与大企业存在直接控股、管理关系的除外。响应文件中（提供《中小企业声明函》或属于监狱企业的证明材料或《残疾人福利性单位声明函》），本项目的中小企业划分标准所属行业为：工业。</w:t>
      </w:r>
    </w:p>
    <w:p>
      <w:pPr>
        <w:pStyle w:val="null3"/>
        <w:outlineLvl w:val="3"/>
      </w:pPr>
      <w:r>
        <w:rPr>
          <w:sz w:val="24"/>
          <w:b/>
        </w:rPr>
        <w:t>3.本项目特定的资格要求：</w:t>
      </w:r>
    </w:p>
    <w:p>
      <w:pPr>
        <w:pStyle w:val="null3"/>
      </w:pPr>
      <w:r>
        <w:rPr/>
        <w:t>采购包1（广州市增城区中医医院2026年度市场化购电项目）：</w:t>
      </w:r>
    </w:p>
    <w:p>
      <w:pPr>
        <w:pStyle w:val="null3"/>
      </w:pPr>
      <w:r>
        <w:rPr/>
        <w:t>1)本项目不接受联合体响应；</w:t>
      </w:r>
    </w:p>
    <w:p>
      <w:pPr>
        <w:pStyle w:val="null3"/>
      </w:pPr>
      <w:r>
        <w:rPr/>
        <w:t>2)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3)供应商必须符合法律、行政法规规定的其他条件：提供《政府采购供应商信用承诺函》格式见公告附件。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广州市增城区中医医院</w:t>
      </w:r>
    </w:p>
    <w:p>
      <w:pPr>
        <w:pStyle w:val="null3"/>
        <w:ind w:firstLine="480"/>
      </w:pPr>
      <w:r>
        <w:rPr/>
        <w:t>地址：</w:t>
      </w:r>
      <w:r>
        <w:rPr/>
        <w:t>广州市增城区荔城街民生路50号</w:t>
      </w:r>
    </w:p>
    <w:p>
      <w:pPr>
        <w:pStyle w:val="null3"/>
        <w:ind w:firstLine="480"/>
      </w:pPr>
      <w:r>
        <w:rPr/>
        <w:t>联系方式：</w:t>
      </w:r>
      <w:r>
        <w:rPr/>
        <w:t>61738267</w:t>
      </w:r>
    </w:p>
    <w:p>
      <w:pPr>
        <w:pStyle w:val="null3"/>
        <w:outlineLvl w:val="3"/>
      </w:pPr>
      <w:r>
        <w:rPr>
          <w:sz w:val="24"/>
          <w:b/>
        </w:rPr>
        <w:t>2.采购代理机构信息</w:t>
      </w:r>
    </w:p>
    <w:p>
      <w:pPr>
        <w:pStyle w:val="null3"/>
        <w:ind w:firstLine="480"/>
      </w:pPr>
      <w:r>
        <w:rPr/>
        <w:t>名称：</w:t>
      </w:r>
      <w:r>
        <w:rPr/>
        <w:t>广东城华工程咨询有限公司</w:t>
      </w:r>
    </w:p>
    <w:p>
      <w:pPr>
        <w:pStyle w:val="null3"/>
        <w:ind w:firstLine="480"/>
      </w:pPr>
      <w:r>
        <w:rPr/>
        <w:t xml:space="preserve"> 地址：</w:t>
      </w:r>
      <w:r>
        <w:rPr/>
        <w:t>广州市黄埔区黄埔大道东840号行信中心A1栋第28层2802单元</w:t>
      </w:r>
    </w:p>
    <w:p>
      <w:pPr>
        <w:pStyle w:val="null3"/>
        <w:ind w:firstLine="480"/>
      </w:pPr>
      <w:r>
        <w:rPr/>
        <w:t xml:space="preserve"> 联系方式：</w:t>
      </w:r>
      <w:r>
        <w:rPr/>
        <w:t>020-32235866</w:t>
      </w:r>
    </w:p>
    <w:p>
      <w:pPr>
        <w:pStyle w:val="null3"/>
        <w:outlineLvl w:val="3"/>
      </w:pPr>
      <w:r>
        <w:rPr>
          <w:sz w:val="24"/>
          <w:b/>
        </w:rPr>
        <w:t xml:space="preserve"> 3.项目联系方式</w:t>
      </w:r>
    </w:p>
    <w:p>
      <w:pPr>
        <w:pStyle w:val="null3"/>
        <w:ind w:firstLine="480"/>
      </w:pPr>
      <w:r>
        <w:rPr/>
        <w:t xml:space="preserve"> 项目联系人：</w:t>
      </w:r>
      <w:r>
        <w:rPr/>
        <w:t>区工</w:t>
      </w:r>
    </w:p>
    <w:p>
      <w:pPr>
        <w:pStyle w:val="null3"/>
        <w:ind w:firstLine="480"/>
      </w:pPr>
      <w:r>
        <w:rPr/>
        <w:t xml:space="preserve"> 电话：</w:t>
      </w:r>
      <w:r>
        <w:rPr/>
        <w:t>020-32235866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广东城华工程咨询有限公司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1.项目类型：服务类</w:t>
      </w:r>
    </w:p>
    <w:p>
      <w:pPr>
        <w:pStyle w:val="null3"/>
        <w:ind w:firstLine="420"/>
        <w:jc w:val="left"/>
      </w:pPr>
      <w:r>
        <w:rPr>
          <w:sz w:val="24"/>
        </w:rPr>
        <w:t>2.本项目整体专门面向中小微企业进行采购，提供服务的供应商应属于依据国务院批准的中型或小型或微型企业或属于监狱企业或残疾人福利性单位，但与大企业的负责人为同一人，或者与大企业存在直接控股、管理关系的除外。响应文件中（提供《中小企业声明函》或属于监狱企业的证明材料或《残疾人福利性单位声明函》），本项目的中小企业划分标准所属行业为：工业。</w:t>
      </w:r>
    </w:p>
    <w:p>
      <w:pPr>
        <w:pStyle w:val="null3"/>
        <w:ind w:firstLine="420"/>
        <w:jc w:val="left"/>
      </w:pPr>
      <w:r>
        <w:rPr>
          <w:sz w:val="24"/>
        </w:rPr>
        <w:t>3.报价要求：供应商须按最高单价限价554元/兆瓦时（固定电能量电费价格）报出统一的投标折扣率（%），成交单价（固定电能量电费价格）=最高单价限价×成交折扣率。投标折扣率范围：0≤投标折扣率＜100%，且该折扣率必须为固定数值，精确到小数点后两位，不接受区间报价（如：90%～100%）。</w:t>
      </w:r>
    </w:p>
    <w:p>
      <w:pPr>
        <w:pStyle w:val="null3"/>
      </w:pPr>
      <w:r>
        <w:rPr/>
        <w:t>采购包1（广州市增城区中医医院2026年度市场化购电项目）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自签订合同开始履约起一年。</w:t>
            </w:r>
          </w:p>
        </w:tc>
      </w:tr>
      <w:tr>
        <w:tc>
          <w:tcPr>
            <w:tcW w:type="dxa" w:w="4153"/>
          </w:tcPr>
          <w:p>
            <w:pPr>
              <w:pStyle w:val="null3"/>
            </w:pPr>
            <w:r>
              <w:rPr/>
              <w:t>标的提供的地点</w:t>
            </w:r>
          </w:p>
        </w:tc>
        <w:tc>
          <w:tcPr>
            <w:tcW w:type="dxa" w:w="4153"/>
          </w:tcPr>
          <w:p>
            <w:pPr>
              <w:pStyle w:val="null3"/>
            </w:pPr>
            <w:r>
              <w:rPr/>
              <w:t>广州市增城区荔城街民生路50号，广州市增城区中医医院内。</w:t>
            </w:r>
          </w:p>
        </w:tc>
      </w:tr>
      <w:tr>
        <w:tc>
          <w:tcPr>
            <w:tcW w:type="dxa" w:w="4153"/>
          </w:tcPr>
          <w:p>
            <w:pPr>
              <w:pStyle w:val="null3"/>
            </w:pPr>
            <w:r>
              <w:rPr/>
              <w:t>付款方式</w:t>
            </w:r>
          </w:p>
        </w:tc>
        <w:tc>
          <w:tcPr>
            <w:tcW w:type="dxa" w:w="4153"/>
          </w:tcPr>
          <w:p>
            <w:pPr>
              <w:pStyle w:val="null3"/>
            </w:pPr>
            <w:r>
              <w:rPr/>
              <w:t>1期：支付比例100%,（1）按照《广东电力市场交易基本规则》、《广东电力市场结算实施细则》以及现货运行有关要求进行结算。 （2）每月实际交易电量以供电企业电力计量装置采集并推送至广东电力交易中心发布的实际用电量为准，采购人的电费结算方式为月度结算，每月20日前自动扣费到供电局。 （3）本项目合同约定价格为电能量价格，最终到户电价按电网公司和广东省电力交易中心的政策规定执行。广东省电力交易中心依据合同的电能量价格约定进行电费结算，成交供应商和购电方不产生财务往来。</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1期：按国家有关规定以及采购文件的服务要求、成交供应商的响应文件及承诺与合同约定标准进行验收。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合同能源管理服务</w:t>
            </w:r>
          </w:p>
        </w:tc>
        <w:tc>
          <w:tcPr>
            <w:tcW w:type="dxa" w:w="831"/>
          </w:tcPr>
          <w:p>
            <w:pPr>
              <w:pStyle w:val="null3"/>
              <w:jc w:val="left"/>
            </w:pPr>
            <w:r>
              <w:rPr/>
              <w:t>医院市场化购电项目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3,480,000.00</w:t>
            </w:r>
          </w:p>
        </w:tc>
        <w:tc>
          <w:tcPr>
            <w:tcW w:type="dxa" w:w="831"/>
          </w:tcPr>
          <w:p>
            <w:pPr>
              <w:pStyle w:val="null3"/>
              <w:jc w:val="right"/>
            </w:pPr>
            <w:r>
              <w:rPr/>
              <w:t>3,480,000.00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医院市场化购电项目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供应商须是已通过广东电力交易中心注册且具备交易资格的售电公司，需提供证明文件及有效的售电牌照编码；若供应商尚未通过广东电力交易中心注册或不具备售电交易资格，则须承诺在《中标（成交）通知书》发出后的七个日历日内完成注册并取得售电交易资格。如成交供应商未能履行此项承诺，将视为自动放弃成交资格，采购人有权单方解除合同。（提供承诺函，格式自拟并加盖公章）</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供应商报价需含代理服务费等所有费用，且承诺合同期限内售电价不得高于电力交易的电能量固定上限价格。如高于电力交易的电能量固定上限价格，则成交供应商向采购人返还实际使用电量×成交供应商成交价高于电力交易的电能量固定上限价格部分的全部费用。（提供承诺函，格式自拟并加盖公章）</w:t>
            </w:r>
          </w:p>
        </w:tc>
      </w:tr>
      <w:tr>
        <w:tc>
          <w:tcPr>
            <w:tcW w:type="dxa" w:w="2076"/>
          </w:tcPr>
          <w:p/>
        </w:tc>
        <w:tc>
          <w:tcPr>
            <w:tcW w:type="dxa" w:w="415"/>
          </w:tcPr>
          <w:p>
            <w:pPr>
              <w:pStyle w:val="null3"/>
            </w:pPr>
            <w:r>
              <w:rPr/>
              <w:t>3</w:t>
            </w:r>
          </w:p>
        </w:tc>
        <w:tc>
          <w:tcPr>
            <w:tcW w:type="dxa" w:w="5814"/>
          </w:tcPr>
          <w:p>
            <w:pPr>
              <w:pStyle w:val="null3"/>
              <w:jc w:val="left"/>
            </w:pPr>
            <w:r>
              <w:rPr>
                <w:sz w:val="24"/>
                <w:b/>
              </w:rPr>
              <w:t>一、采购项目内容及要求</w:t>
            </w:r>
          </w:p>
          <w:p>
            <w:pPr>
              <w:pStyle w:val="null3"/>
              <w:jc w:val="left"/>
            </w:pPr>
            <w:r>
              <w:rPr>
                <w:sz w:val="24"/>
              </w:rPr>
              <w:t>（一）电能量结算模式：固定价格模式+市场联动+浮动费用（0元/千瓦时）模式。</w:t>
            </w:r>
          </w:p>
          <w:p>
            <w:pPr>
              <w:pStyle w:val="null3"/>
              <w:jc w:val="left"/>
            </w:pPr>
            <w:r>
              <w:rPr>
                <w:sz w:val="24"/>
              </w:rPr>
              <w:t>1.固定价格模式选择平段价格，按实际用电量占比为90%。</w:t>
            </w:r>
          </w:p>
          <w:p>
            <w:pPr>
              <w:pStyle w:val="null3"/>
              <w:jc w:val="left"/>
            </w:pPr>
            <w:r>
              <w:rPr>
                <w:sz w:val="24"/>
              </w:rPr>
              <w:t>2.市场联动模式选择月度中长期交易综合价，按实际用电量占比为10%。</w:t>
            </w:r>
          </w:p>
          <w:p>
            <w:pPr>
              <w:pStyle w:val="null3"/>
              <w:jc w:val="left"/>
            </w:pPr>
            <w:r>
              <w:rPr>
                <w:sz w:val="24"/>
              </w:rPr>
              <w:t>即：电能量结算价格=合同约定固定价格×90%月度用电量+市场联动价格×10%月度用电量</w:t>
            </w:r>
          </w:p>
          <w:p>
            <w:pPr>
              <w:pStyle w:val="null3"/>
              <w:jc w:val="left"/>
            </w:pPr>
            <w:r>
              <w:rPr>
                <w:sz w:val="24"/>
              </w:rPr>
              <w:t>3.合同约定的价格非用户最终到户电价，仅为电能量固定价格：90%的固定电量价格，其他未尽事宜按《广东省能源局关于2026年电力市场交易关键机制和参数有关事项的复函》[粤能电力〔2025〕306号]执行；剩余10%电量价格采取月度中长期交易综合价，为不确定值，由广东电力交易中心次月中下旬对外公布上月市场联动价格。医院须按时缴纳的电费除电能量电费外，还包括输配电费、上网环节线损费用、系统运行费用、政府性基金及附加、其他分摊费用、市场化需求响应费用、尖峰加价等相关费用，即医院每月最终结算电费=（合同约定电能量结算价格+输配电费+上网环节线损费用+系统运行费用+政府性基金及附加+其他分摊费用+市场化需求响应费用+尖峰加价等）×当月实际用电量。</w:t>
            </w:r>
          </w:p>
          <w:p>
            <w:pPr>
              <w:pStyle w:val="null3"/>
              <w:jc w:val="left"/>
            </w:pPr>
            <w:r>
              <w:rPr>
                <w:sz w:val="24"/>
              </w:rPr>
              <w:t>4.除中标确定的电能量固定价格外，其他以上各项电费标准，由电网公司和广东电力交易中心按照政策规定执行。</w:t>
            </w:r>
          </w:p>
          <w:p>
            <w:pPr>
              <w:pStyle w:val="null3"/>
              <w:jc w:val="left"/>
            </w:pPr>
            <w:r>
              <w:rPr>
                <w:sz w:val="24"/>
              </w:rPr>
              <w:t>5.采购人和成交供应商双方按照签订的线下合同在交易系统中进行申报、确认，广东电力交易中心以双方在交易系统中申报、确认的模式和数据进行结算。</w:t>
            </w:r>
          </w:p>
          <w:p>
            <w:pPr>
              <w:pStyle w:val="null3"/>
              <w:jc w:val="left"/>
            </w:pPr>
            <w:r>
              <w:rPr>
                <w:sz w:val="24"/>
              </w:rPr>
              <w:t>6.每月实际交易电量以供电企业电力计量装置采集并推送至广东电力交易中心发布的实际用电量为准，采购人的电费结算方式为月度结算。</w:t>
            </w:r>
          </w:p>
          <w:p>
            <w:pPr>
              <w:pStyle w:val="null3"/>
              <w:jc w:val="left"/>
            </w:pPr>
            <w:r>
              <w:rPr>
                <w:sz w:val="24"/>
              </w:rPr>
              <w:t>（二）采购需求</w:t>
            </w:r>
          </w:p>
          <w:p>
            <w:pPr>
              <w:pStyle w:val="null3"/>
              <w:jc w:val="left"/>
            </w:pPr>
            <w:r>
              <w:rPr>
                <w:sz w:val="24"/>
              </w:rPr>
              <w:t>1.预计全年消耗电量约430万千瓦时。</w:t>
            </w:r>
          </w:p>
          <w:p>
            <w:pPr>
              <w:pStyle w:val="null3"/>
              <w:jc w:val="left"/>
            </w:pPr>
            <w:r>
              <w:rPr>
                <w:sz w:val="24"/>
              </w:rPr>
              <w:t>2.供应商须按最高单价限价554元/兆瓦时（固定电能量电费价格）报出统一的投标折扣率（%），成交单价（固定电能量电费价格）=最高单价限价×成交折扣率。投标折扣率范围：0≤投标折扣率＜100%，且该折扣率必须为固定数值，精确到小数点后两位，不接受区间报价（如：90%～100%）。其他未尽事宜按《广东省能源局关于2026年电力市场交易关键机制和参数有关事项的复函》[粤能电力〔2025〕306号]执行。</w:t>
            </w:r>
          </w:p>
          <w:p>
            <w:pPr>
              <w:pStyle w:val="null3"/>
              <w:jc w:val="left"/>
            </w:pPr>
            <w:r>
              <w:rPr>
                <w:sz w:val="24"/>
              </w:rPr>
              <w:t>3.电力资源采购期限一年。</w:t>
            </w:r>
          </w:p>
          <w:p>
            <w:pPr>
              <w:pStyle w:val="null3"/>
              <w:jc w:val="left"/>
            </w:pPr>
            <w:r>
              <w:rPr>
                <w:sz w:val="24"/>
              </w:rPr>
              <w:t>（三）售电公司的报价均为含税报价，税率按照国家相关规定执行。</w:t>
            </w:r>
          </w:p>
          <w:p>
            <w:pPr>
              <w:pStyle w:val="null3"/>
              <w:jc w:val="left"/>
            </w:pPr>
            <w:r>
              <w:rPr>
                <w:sz w:val="24"/>
              </w:rPr>
              <w:t>（四）售电公司需协助医院完成电力交易平台注册工作，包括但不限于指导资料准备、协助系统录入、解答注册流程疑问等。在合同期内，售电公司需负责电力交易平台日常数据填报工作，医院提供所需基础资料，售电公司应确保数据填报的及时性、准确性和完整性。若因数据填报错误或延迟导致医院受到平台处罚或其他损失，售电公司需承担全部责任，并负责协助医院完成整改工作。</w:t>
            </w:r>
          </w:p>
          <w:p>
            <w:pPr>
              <w:pStyle w:val="null3"/>
              <w:jc w:val="left"/>
            </w:pPr>
            <w:r>
              <w:rPr>
                <w:sz w:val="24"/>
              </w:rPr>
              <w:t>（五）服务内容包括但不限于：</w:t>
            </w:r>
          </w:p>
          <w:p>
            <w:pPr>
              <w:pStyle w:val="null3"/>
              <w:jc w:val="left"/>
            </w:pPr>
            <w:r>
              <w:rPr>
                <w:sz w:val="24"/>
              </w:rPr>
              <w:t>1.代理参与电力市场化交易，负责每月交易电量申报、交易、结算工作。</w:t>
            </w:r>
          </w:p>
          <w:p>
            <w:pPr>
              <w:pStyle w:val="null3"/>
              <w:jc w:val="left"/>
            </w:pPr>
            <w:r>
              <w:rPr>
                <w:sz w:val="24"/>
              </w:rPr>
              <w:t>2.负责电力交易平台市场注册及后期电力交易相关的全周期电力交易服务。</w:t>
            </w:r>
          </w:p>
          <w:p>
            <w:pPr>
              <w:pStyle w:val="null3"/>
              <w:jc w:val="left"/>
            </w:pPr>
            <w:r>
              <w:rPr>
                <w:sz w:val="24"/>
              </w:rPr>
              <w:t>3.负责电量电费分析、电力技术咨询、电力技术服务，重点包括与电网企业的沟通，发行电费准确性、合理性分析，相应发票获取及用电手续办理等业务，每月提供交易电量结算清单，明确交易电量和电价，并如实向采购人提供真实准确的交易相关信息和资料。</w:t>
            </w:r>
          </w:p>
          <w:p>
            <w:pPr>
              <w:pStyle w:val="null3"/>
              <w:jc w:val="left"/>
            </w:pPr>
            <w:r>
              <w:rPr>
                <w:sz w:val="24"/>
              </w:rPr>
              <w:t>4.提供的购电服务应不改变采购人原有的用电习惯，供电模式和供电质量保障不变，所有交易流程全权委托成交供应商进行，具体工作内容及范围以采购人委托为准。</w:t>
            </w:r>
          </w:p>
          <w:p>
            <w:pPr>
              <w:pStyle w:val="null3"/>
              <w:jc w:val="left"/>
            </w:pPr>
            <w:r>
              <w:rPr>
                <w:sz w:val="24"/>
              </w:rPr>
              <w:t>（六）附加服务</w:t>
            </w:r>
          </w:p>
          <w:p>
            <w:pPr>
              <w:pStyle w:val="null3"/>
              <w:jc w:val="left"/>
            </w:pPr>
            <w:r>
              <w:rPr>
                <w:sz w:val="24"/>
              </w:rPr>
              <w:t>1.电力设备预防性试验，对电气设备进行停电维护和预防性试验工作，每年至少一次。</w:t>
            </w:r>
          </w:p>
          <w:p>
            <w:pPr>
              <w:pStyle w:val="null3"/>
              <w:jc w:val="left"/>
            </w:pPr>
            <w:r>
              <w:rPr>
                <w:sz w:val="24"/>
              </w:rPr>
              <w:t>2.应急响应和应急电力支持，接到采购人应急请求后，根据实际情况远程指导或迅速组织相关技术力量赶往现场协助解决问题或安排应急电力车应急供应电力。</w:t>
            </w:r>
          </w:p>
          <w:p>
            <w:pPr>
              <w:pStyle w:val="null3"/>
              <w:jc w:val="left"/>
            </w:pPr>
            <w:r>
              <w:rPr>
                <w:sz w:val="24"/>
              </w:rPr>
              <w:t>3.绝缘工器具（绝缘手套和绝缘鞋各10套）检测，提供安全器具检测服务，并出具检测报告，每半年一次。</w:t>
            </w:r>
          </w:p>
          <w:p>
            <w:pPr>
              <w:pStyle w:val="null3"/>
              <w:jc w:val="left"/>
            </w:pPr>
            <w:r>
              <w:rPr>
                <w:sz w:val="24"/>
              </w:rPr>
              <w:t>4.培训、实战演练与技术支持，进行电气相关知识和技能的培训和培训一些基本常见电气故障及排查方法，以及大面积停电应急实战演练等，每年至少一次。</w:t>
            </w:r>
          </w:p>
          <w:p>
            <w:pPr>
              <w:pStyle w:val="null3"/>
              <w:jc w:val="left"/>
            </w:pPr>
            <w:r>
              <w:rPr>
                <w:sz w:val="24"/>
              </w:rPr>
              <w:t>5.用电数据分析与节能建议，根据实际用电特性，包括用电趋势分析、节能潜力评估等，提出针对性的节能建议和措施。</w:t>
            </w:r>
          </w:p>
          <w:p>
            <w:pPr>
              <w:pStyle w:val="null3"/>
            </w:pPr>
            <w:r>
              <w:rPr>
                <w:sz w:val="24"/>
              </w:rPr>
              <w:t>6.免费提供充电桩建设、光伏建设、储能建设运营方案。</w:t>
            </w:r>
          </w:p>
        </w:tc>
      </w:tr>
      <w:tr>
        <w:tc>
          <w:tcPr>
            <w:tcW w:type="dxa" w:w="2076"/>
          </w:tcPr>
          <w:p/>
        </w:tc>
        <w:tc>
          <w:tcPr>
            <w:tcW w:type="dxa" w:w="415"/>
          </w:tcPr>
          <w:p>
            <w:pPr>
              <w:pStyle w:val="null3"/>
            </w:pPr>
            <w:r>
              <w:rPr/>
              <w:t>4</w:t>
            </w:r>
          </w:p>
        </w:tc>
        <w:tc>
          <w:tcPr>
            <w:tcW w:type="dxa" w:w="5814"/>
          </w:tcPr>
          <w:p>
            <w:pPr>
              <w:pStyle w:val="null3"/>
              <w:jc w:val="left"/>
            </w:pPr>
            <w:r>
              <w:rPr>
                <w:sz w:val="24"/>
                <w:b/>
              </w:rPr>
              <w:t>二、售后服务</w:t>
            </w:r>
          </w:p>
          <w:p>
            <w:pPr>
              <w:pStyle w:val="null3"/>
              <w:jc w:val="left"/>
            </w:pPr>
            <w:r>
              <w:rPr>
                <w:sz w:val="24"/>
              </w:rPr>
              <w:t>（一）提供7×24小时故障报修服务，快速响应采购人需求。</w:t>
            </w:r>
          </w:p>
          <w:p>
            <w:pPr>
              <w:pStyle w:val="null3"/>
              <w:jc w:val="left"/>
            </w:pPr>
            <w:r>
              <w:rPr>
                <w:sz w:val="24"/>
              </w:rPr>
              <w:t>（二）安排专业人员及时排查故障，确保尽快恢复供电。</w:t>
            </w:r>
          </w:p>
          <w:p>
            <w:pPr>
              <w:pStyle w:val="null3"/>
              <w:jc w:val="left"/>
            </w:pPr>
            <w:r>
              <w:rPr>
                <w:sz w:val="24"/>
              </w:rPr>
              <w:t>（三）采购人需要咨询服务时，供应商应在1个小时内响应</w:t>
            </w:r>
          </w:p>
          <w:p>
            <w:pPr>
              <w:pStyle w:val="null3"/>
              <w:jc w:val="left"/>
            </w:pPr>
            <w:r>
              <w:rPr>
                <w:sz w:val="24"/>
              </w:rPr>
              <w:t>（四）医院用电出现故障报修时，供应商应在30分钟内响应，2小时内到场。</w:t>
            </w:r>
          </w:p>
          <w:p>
            <w:pPr>
              <w:pStyle w:val="null3"/>
            </w:pPr>
            <w:r>
              <w:rPr>
                <w:sz w:val="24"/>
              </w:rPr>
              <w:t>（五）供应商须做好相关技术人员的培训工作，确保满足该项目所需的服务能力。</w:t>
            </w:r>
          </w:p>
        </w:tc>
      </w:tr>
      <w:tr>
        <w:tc>
          <w:tcPr>
            <w:tcW w:type="dxa" w:w="2076"/>
          </w:tcPr>
          <w:p/>
        </w:tc>
        <w:tc>
          <w:tcPr>
            <w:tcW w:type="dxa" w:w="415"/>
          </w:tcPr>
          <w:p>
            <w:pPr>
              <w:pStyle w:val="null3"/>
            </w:pPr>
            <w:r>
              <w:rPr/>
              <w:t>5</w:t>
            </w:r>
          </w:p>
        </w:tc>
        <w:tc>
          <w:tcPr>
            <w:tcW w:type="dxa" w:w="5814"/>
          </w:tcPr>
          <w:p>
            <w:pPr>
              <w:pStyle w:val="null3"/>
              <w:jc w:val="left"/>
            </w:pPr>
            <w:r>
              <w:rPr>
                <w:sz w:val="24"/>
                <w:b/>
              </w:rPr>
              <w:t>三、违约责任</w:t>
            </w:r>
          </w:p>
          <w:p>
            <w:pPr>
              <w:pStyle w:val="null3"/>
              <w:jc w:val="left"/>
            </w:pPr>
            <w:r>
              <w:rPr>
                <w:sz w:val="24"/>
              </w:rPr>
              <w:t>（一）若售电公司未按约定提供附加服务（如未按时进行设备试验、未响应应急请求等），医院有权要求其限期3天内完成整改，对于整改不到位或拒绝整改，以及存在多次未履行服务义务等严重违约行为，医院有权立即终止合同。</w:t>
            </w:r>
          </w:p>
          <w:p>
            <w:pPr>
              <w:pStyle w:val="null3"/>
              <w:jc w:val="left"/>
            </w:pPr>
            <w:r>
              <w:rPr>
                <w:sz w:val="24"/>
              </w:rPr>
              <w:t>（二）若售电公司存在提供虚假数据、拒不履行服务义务等严重违约行为，医院有权终止合同，还将其违约情况如实上报行业主管部门，并列入医院供应商黑名单，禁止其参与医院后续所有电力相关项目采购。同时，医院保留就售电公司违约行为造成的全部损失，通过法律途径追究其相应法律责任的权利。</w:t>
            </w:r>
          </w:p>
          <w:p>
            <w:pPr>
              <w:pStyle w:val="null3"/>
              <w:jc w:val="left"/>
            </w:pPr>
            <w:r>
              <w:rPr>
                <w:sz w:val="24"/>
              </w:rPr>
              <w:t>（三）服务期限内，若因成交供应商供电不足导致采购人无法正常购电的，成交供应商应向采购人支付因成交供应商违约而造成的经济损失。</w:t>
            </w:r>
          </w:p>
          <w:p>
            <w:pPr>
              <w:pStyle w:val="null3"/>
            </w:pPr>
            <w:r>
              <w:rPr>
                <w:sz w:val="24"/>
              </w:rPr>
              <w:t>（四）市场风险防控条款：按合同超额电费共担条款执行。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1.采购代理机构：本项目是指广东城华工程咨询有限公司，负责整个采购活动的组织，依法负责编制和发布磋商文件，对磋商文件拥有最终的解释权，不以任何身份出任磋商小组成员。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广州市增城区中医医院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广东省物价局文件（粤价[2002]386号文）《转发国家计委关于印发招标代理服务收费管理暂行办法的通知》（[2002]1980号文）规定的“服务类”计费标准计算收费基准价格，并在收费基准价格的基础上下浮58.11%收取代理服务费。代理服务费金额计算标准为：成交总金额（如项目采用单价、折扣率或下浮率等非总价形式报价的，以项目预算金额作为收费的计算依据）100万元以下的部分按1.5%计，100~500万的部分按0.8%计，500～1000万的部分按0.45%计，1000～5000万的部分按0.25%计，收费按差额定率累进法计算，收费标准计取不作上下浮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区工</w:t>
      </w:r>
    </w:p>
    <w:p>
      <w:pPr>
        <w:pStyle w:val="null3"/>
        <w:ind w:firstLine="480"/>
      </w:pPr>
      <w:r>
        <w:rPr/>
        <w:t>电话：</w:t>
      </w:r>
      <w:r>
        <w:rPr/>
        <w:t>020-32235866</w:t>
      </w:r>
    </w:p>
    <w:p>
      <w:pPr>
        <w:pStyle w:val="null3"/>
        <w:ind w:firstLine="480"/>
      </w:pPr>
      <w:r>
        <w:rPr/>
        <w:t>传真：</w:t>
      </w:r>
      <w:r>
        <w:rPr/>
        <w:t>/</w:t>
      </w:r>
    </w:p>
    <w:p>
      <w:pPr>
        <w:pStyle w:val="null3"/>
        <w:ind w:firstLine="480"/>
      </w:pPr>
      <w:r>
        <w:rPr/>
        <w:t>邮箱：</w:t>
      </w:r>
      <w:r>
        <w:rPr/>
        <w:t>1851126679@qq.com</w:t>
      </w:r>
    </w:p>
    <w:p>
      <w:pPr>
        <w:pStyle w:val="null3"/>
        <w:ind w:firstLine="480"/>
      </w:pPr>
      <w:r>
        <w:rPr/>
        <w:t>地址：</w:t>
      </w:r>
      <w:r>
        <w:rPr/>
        <w:t>广州市黄埔区黄埔大道东840号行信中心A1栋第28层2802单元</w:t>
      </w:r>
    </w:p>
    <w:p>
      <w:pPr>
        <w:pStyle w:val="null3"/>
        <w:ind w:firstLine="480"/>
      </w:pPr>
      <w:r>
        <w:rPr/>
        <w:t>邮编：</w:t>
      </w:r>
      <w:r>
        <w:rPr/>
        <w:t>510710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增城区中医医院2026年度市场化购电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广东城华工程咨询有限公司</w:t>
      </w:r>
      <w:r>
        <w:rPr/>
        <w:t>统一对外发布。</w:t>
      </w:r>
    </w:p>
    <w:p>
      <w:pPr>
        <w:pStyle w:val="null3"/>
        <w:ind w:firstLine="480"/>
      </w:pPr>
      <w:r>
        <w:rPr/>
        <w:t>（2）对</w:t>
      </w:r>
      <w:r>
        <w:rPr/>
        <w:t>广东城华工程咨询有限公司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采购包1（广州市增城区中医医院2026年度市场化购电项目）：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采购包1（广州市增城区中医医院2026年度市场化购电项目）：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政府采购供应商信用承诺函》格式见公告附件及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提供相应证明材料或《政府采购供应商信用承诺函》格式见公告附件。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提供相应证明材料或《政府采购供应商信用承诺函》格式见公告附件。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提供相应证明材料或《政府采购供应商信用承诺函》格式见公告附件。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提供相应证明材料或《政府采购供应商信用承诺函》格式见公告附件。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本项目不接受联合体响应；</w:t>
            </w:r>
          </w:p>
        </w:tc>
        <w:tc>
          <w:tcPr>
            <w:tcW w:type="dxa" w:w="4238"/>
          </w:tcPr>
          <w:p>
            <w:pPr>
              <w:pStyle w:val="null3"/>
            </w:pPr>
            <w:r>
              <w:rPr/>
              <w:t>本项目不接受联合体响应；</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供应商必须符合法律、行政法规规定的其他条件：提供《政府采购供应商信用承诺函》格式见公告附件。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微企业进行采购，提供服务的供应商应属于依据国务院批准的中型或小型或微型企业或属于监狱企业或残疾人福利性单位，但与大企业的负责人为同一人，或者与大企业存在直接控股、管理关系的除外。响应文件中（提供《中小企业声明函》或属于监狱企业的证明材料或《残疾人福利性单位声明函》），本项目的中小企业划分标准所属行业为：工业。</w:t>
            </w:r>
          </w:p>
        </w:tc>
      </w:tr>
    </w:tbl>
    <w:p>
      <w:pPr>
        <w:pStyle w:val="null3"/>
        <w:ind w:firstLine="480"/>
      </w:pPr>
      <w:r>
        <w:rPr/>
        <w:t>表二符合性审查表：</w:t>
      </w:r>
    </w:p>
    <w:p>
      <w:pPr>
        <w:pStyle w:val="null3"/>
      </w:pPr>
      <w:r>
        <w:rPr/>
        <w:t>采购包1（广州市增城区中医医院2026年度市场化购电项目）：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按照竞争性磋商文件规定要求签署、盖章且响应文件有法定代表人（或法定代表人委托的代理人）的印鉴或签名。</w:t>
            </w:r>
          </w:p>
        </w:tc>
        <w:tc>
          <w:tcPr>
            <w:tcW w:type="dxa" w:w="4238"/>
          </w:tcPr>
          <w:p>
            <w:pPr>
              <w:pStyle w:val="null3"/>
            </w:pPr>
            <w:r>
              <w:rPr/>
              <w:t>按照竞争性磋商文件规定要求签署、盖章且响应文件有法定代表人（或法定代表人委托的代理人）的印鉴或签名。</w:t>
            </w:r>
          </w:p>
        </w:tc>
      </w:tr>
      <w:tr>
        <w:tc>
          <w:tcPr>
            <w:tcW w:type="dxa" w:w="890"/>
          </w:tcPr>
          <w:p>
            <w:pPr>
              <w:pStyle w:val="null3"/>
            </w:pPr>
            <w:r>
              <w:rPr/>
              <w:t>2</w:t>
            </w:r>
          </w:p>
        </w:tc>
        <w:tc>
          <w:tcPr>
            <w:tcW w:type="dxa" w:w="3178"/>
          </w:tcPr>
          <w:p>
            <w:pPr>
              <w:pStyle w:val="null3"/>
            </w:pPr>
            <w:r>
              <w:rPr/>
              <w:t>响应承诺函已提交并符合竞争性磋商文件要求的，且响应有效期不少于竞争性磋商文件中载明的响应有效期。</w:t>
            </w:r>
          </w:p>
        </w:tc>
        <w:tc>
          <w:tcPr>
            <w:tcW w:type="dxa" w:w="4238"/>
          </w:tcPr>
          <w:p>
            <w:pPr>
              <w:pStyle w:val="null3"/>
            </w:pPr>
            <w:r>
              <w:rPr/>
              <w:t>响应承诺函已提交并符合竞争性磋商文件要求的，且响应有效期不少于竞争性磋商文件中载明的响应有效期。</w:t>
            </w:r>
          </w:p>
        </w:tc>
      </w:tr>
      <w:tr>
        <w:tc>
          <w:tcPr>
            <w:tcW w:type="dxa" w:w="890"/>
          </w:tcPr>
          <w:p>
            <w:pPr>
              <w:pStyle w:val="null3"/>
            </w:pPr>
            <w:r>
              <w:rPr/>
              <w:t>3</w:t>
            </w:r>
          </w:p>
        </w:tc>
        <w:tc>
          <w:tcPr>
            <w:tcW w:type="dxa" w:w="3178"/>
          </w:tcPr>
          <w:p>
            <w:pPr>
              <w:pStyle w:val="null3"/>
            </w:pPr>
            <w:r>
              <w:rPr/>
              <w:t>响应报价确定且符合要求。</w:t>
            </w:r>
          </w:p>
        </w:tc>
        <w:tc>
          <w:tcPr>
            <w:tcW w:type="dxa" w:w="4238"/>
          </w:tcPr>
          <w:p>
            <w:pPr>
              <w:pStyle w:val="null3"/>
            </w:pPr>
            <w:r>
              <w:rPr/>
              <w:t>响应报价确定且符合要求。</w:t>
            </w:r>
          </w:p>
        </w:tc>
      </w:tr>
      <w:tr>
        <w:tc>
          <w:tcPr>
            <w:tcW w:type="dxa" w:w="890"/>
          </w:tcPr>
          <w:p>
            <w:pPr>
              <w:pStyle w:val="null3"/>
            </w:pPr>
            <w:r>
              <w:rPr/>
              <w:t>4</w:t>
            </w:r>
          </w:p>
        </w:tc>
        <w:tc>
          <w:tcPr>
            <w:tcW w:type="dxa" w:w="3178"/>
          </w:tcPr>
          <w:p>
            <w:pPr>
              <w:pStyle w:val="null3"/>
            </w:pPr>
            <w:r>
              <w:rPr/>
              <w:t>响应文件完全满足竞争性磋商文件的实质性条款（即标注★号条款）无负偏离的。</w:t>
            </w:r>
          </w:p>
        </w:tc>
        <w:tc>
          <w:tcPr>
            <w:tcW w:type="dxa" w:w="4238"/>
          </w:tcPr>
          <w:p>
            <w:pPr>
              <w:pStyle w:val="null3"/>
            </w:pPr>
            <w:r>
              <w:rPr/>
              <w:t>响应文件完全满足竞争性磋商文件的实质性条款（即标注★号条款）无负偏离的。</w:t>
            </w:r>
          </w:p>
        </w:tc>
      </w:tr>
      <w:tr>
        <w:tc>
          <w:tcPr>
            <w:tcW w:type="dxa" w:w="890"/>
          </w:tcPr>
          <w:p>
            <w:pPr>
              <w:pStyle w:val="null3"/>
            </w:pPr>
            <w:r>
              <w:rPr/>
              <w:t>5</w:t>
            </w:r>
          </w:p>
        </w:tc>
        <w:tc>
          <w:tcPr>
            <w:tcW w:type="dxa" w:w="3178"/>
          </w:tcPr>
          <w:p>
            <w:pPr>
              <w:pStyle w:val="null3"/>
            </w:pPr>
            <w:r>
              <w:rPr/>
              <w:t>响应文件没有竞争性磋商文件中规定的其它无效响应条款的。</w:t>
            </w:r>
          </w:p>
        </w:tc>
        <w:tc>
          <w:tcPr>
            <w:tcW w:type="dxa" w:w="4238"/>
          </w:tcPr>
          <w:p>
            <w:pPr>
              <w:pStyle w:val="null3"/>
            </w:pPr>
            <w:r>
              <w:rPr/>
              <w:t>响应文件没有竞争性磋商文件中规定的其它无效响应条款的。</w:t>
            </w:r>
          </w:p>
        </w:tc>
      </w:tr>
      <w:tr>
        <w:tc>
          <w:tcPr>
            <w:tcW w:type="dxa" w:w="890"/>
          </w:tcPr>
          <w:p>
            <w:pPr>
              <w:pStyle w:val="null3"/>
            </w:pPr>
            <w:r>
              <w:rPr/>
              <w:t>6</w:t>
            </w:r>
          </w:p>
        </w:tc>
        <w:tc>
          <w:tcPr>
            <w:tcW w:type="dxa" w:w="3178"/>
          </w:tcPr>
          <w:p>
            <w:pPr>
              <w:pStyle w:val="null3"/>
            </w:pPr>
            <w:r>
              <w:rPr/>
              <w:t>按有关法律、法规、规章不属于响应无效的。</w:t>
            </w:r>
          </w:p>
        </w:tc>
        <w:tc>
          <w:tcPr>
            <w:tcW w:type="dxa" w:w="4238"/>
          </w:tcPr>
          <w:p>
            <w:pPr>
              <w:pStyle w:val="null3"/>
            </w:pPr>
            <w:r>
              <w:rPr/>
              <w:t>按有关法律、法规、规章不属于响应无效的。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采购包1(广州市增城区中医医院2026年度市场化购电项目):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技术部分35.0分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实施方案A (2.0分)</w:t>
            </w:r>
            <w:r>
              <w:rPr/>
              <w:t>，（等次分值选择：</w:t>
            </w:r>
            <w:r>
              <w:rPr/>
              <w:t>0.0;</w:t>
            </w:r>
            <w:r>
              <w:rPr/>
              <w:t>2.0;</w:t>
            </w:r>
            <w:r>
              <w:rPr/>
              <w:t>）</w:t>
            </w:r>
          </w:p>
        </w:tc>
        <w:tc>
          <w:tcPr>
            <w:tcW w:type="dxa" w:w="5076"/>
          </w:tcPr>
          <w:p>
            <w:pPr>
              <w:pStyle w:val="null3"/>
              <w:jc w:val="left"/>
            </w:pPr>
            <w:r>
              <w:rPr/>
              <w:t>根据供应商提供的实施方案进行评审，包含不限于：①项目重点难点分析及应对措施、②项目管理机构配置、③合规经营与持续改进机制、④项目管理制度、⑤项目交易方案，能提供以上内容的，得2分。如方案未包括以上内容的或未提供的，不得分，下列“实施方案B”也不得分。</w:t>
            </w:r>
          </w:p>
        </w:tc>
      </w:tr>
      <w:tr>
        <w:tc>
          <w:tcPr>
            <w:tcW w:type="dxa" w:w="922"/>
            <w:gridSpan w:val="2"/>
            <w:vMerge/>
          </w:tcPr>
          <w:p/>
        </w:tc>
        <w:tc>
          <w:tcPr>
            <w:tcW w:type="dxa" w:w="2307"/>
          </w:tcPr>
          <w:p>
            <w:pPr>
              <w:pStyle w:val="null3"/>
              <w:jc w:val="left"/>
            </w:pPr>
            <w:r>
              <w:rPr/>
              <w:t>实施方案B (6.0分)</w:t>
            </w:r>
            <w:r>
              <w:rPr/>
              <w:t>，（等次分值选择：</w:t>
            </w:r>
            <w:r>
              <w:rPr/>
              <w:t>0.0;</w:t>
            </w:r>
            <w:r>
              <w:rPr/>
              <w:t>1.0;</w:t>
            </w:r>
            <w:r>
              <w:rPr/>
              <w:t>3.0;</w:t>
            </w:r>
            <w:r>
              <w:rPr/>
              <w:t>6.0;</w:t>
            </w:r>
            <w:r>
              <w:rPr/>
              <w:t>）</w:t>
            </w:r>
          </w:p>
        </w:tc>
        <w:tc>
          <w:tcPr>
            <w:tcW w:type="dxa" w:w="5076"/>
          </w:tcPr>
          <w:p>
            <w:pPr>
              <w:pStyle w:val="null3"/>
              <w:jc w:val="left"/>
            </w:pPr>
            <w:r>
              <w:rPr/>
              <w:t>根据实施方案的可行性、规范性等综合评审： （1）完全满足且优于项目需求的，得6分； （2）完全满足项目需求的，得3分； （3）部分满足项目需求的，得1分； （4）不提供实施方案或其他，不得分。</w:t>
            </w:r>
          </w:p>
        </w:tc>
      </w:tr>
      <w:tr>
        <w:tc>
          <w:tcPr>
            <w:tcW w:type="dxa" w:w="922"/>
            <w:gridSpan w:val="2"/>
            <w:vMerge/>
          </w:tcPr>
          <w:p/>
        </w:tc>
        <w:tc>
          <w:tcPr>
            <w:tcW w:type="dxa" w:w="2307"/>
          </w:tcPr>
          <w:p>
            <w:pPr>
              <w:pStyle w:val="null3"/>
              <w:jc w:val="left"/>
            </w:pPr>
            <w:r>
              <w:rPr/>
              <w:t>保障方案A (2.0分)</w:t>
            </w:r>
            <w:r>
              <w:rPr/>
              <w:t>，（等次分值选择：</w:t>
            </w:r>
            <w:r>
              <w:rPr/>
              <w:t>0.0;</w:t>
            </w:r>
            <w:r>
              <w:rPr/>
              <w:t>2.0;</w:t>
            </w:r>
            <w:r>
              <w:rPr/>
              <w:t>）</w:t>
            </w:r>
          </w:p>
        </w:tc>
        <w:tc>
          <w:tcPr>
            <w:tcW w:type="dxa" w:w="5076"/>
          </w:tcPr>
          <w:p>
            <w:pPr>
              <w:pStyle w:val="null3"/>
              <w:jc w:val="left"/>
            </w:pPr>
            <w:r>
              <w:rPr/>
              <w:t>根据供应商提供的保障方案进行评审，包含但不限于：①项目质量控制制度、②电力安全供应保障、③电价平稳保障方案、④规避交易亏损以及连续亏损的应对措施、⑤项目服务情况实时跟进计划。能提供以上内容的，得2分。如方案未包括以上内容的或未提供的，不得分，下列“保障方案B”也不得分。</w:t>
            </w:r>
          </w:p>
        </w:tc>
      </w:tr>
      <w:tr>
        <w:tc>
          <w:tcPr>
            <w:tcW w:type="dxa" w:w="922"/>
            <w:gridSpan w:val="2"/>
            <w:vMerge/>
          </w:tcPr>
          <w:p/>
        </w:tc>
        <w:tc>
          <w:tcPr>
            <w:tcW w:type="dxa" w:w="2307"/>
          </w:tcPr>
          <w:p>
            <w:pPr>
              <w:pStyle w:val="null3"/>
              <w:jc w:val="left"/>
            </w:pPr>
            <w:r>
              <w:rPr/>
              <w:t>保障方案B (6.0分)</w:t>
            </w:r>
            <w:r>
              <w:rPr/>
              <w:t>，（等次分值选择：</w:t>
            </w:r>
            <w:r>
              <w:rPr/>
              <w:t>0.0;</w:t>
            </w:r>
            <w:r>
              <w:rPr/>
              <w:t>1.0;</w:t>
            </w:r>
            <w:r>
              <w:rPr/>
              <w:t>3.0;</w:t>
            </w:r>
            <w:r>
              <w:rPr/>
              <w:t>6.0;</w:t>
            </w:r>
            <w:r>
              <w:rPr/>
              <w:t>）</w:t>
            </w:r>
          </w:p>
        </w:tc>
        <w:tc>
          <w:tcPr>
            <w:tcW w:type="dxa" w:w="5076"/>
          </w:tcPr>
          <w:p>
            <w:pPr>
              <w:pStyle w:val="null3"/>
              <w:jc w:val="left"/>
            </w:pPr>
            <w:r>
              <w:rPr/>
              <w:t>根据保障方案的可行性、完整性等综合评审： （1）完全满足且优于采购需求的，得6分； （2）完全满足采购需求的，得3分； （3）部分满足采购需求的，得1分； （4）不提供保障方案或其他，不得分。</w:t>
            </w:r>
          </w:p>
        </w:tc>
      </w:tr>
      <w:tr>
        <w:tc>
          <w:tcPr>
            <w:tcW w:type="dxa" w:w="922"/>
            <w:gridSpan w:val="2"/>
            <w:vMerge/>
          </w:tcPr>
          <w:p/>
        </w:tc>
        <w:tc>
          <w:tcPr>
            <w:tcW w:type="dxa" w:w="2307"/>
          </w:tcPr>
          <w:p>
            <w:pPr>
              <w:pStyle w:val="null3"/>
              <w:jc w:val="left"/>
            </w:pPr>
            <w:r>
              <w:rPr/>
              <w:t>售后服务方案A (2.0分)</w:t>
            </w:r>
            <w:r>
              <w:rPr/>
              <w:t>，（等次分值选择：</w:t>
            </w:r>
            <w:r>
              <w:rPr/>
              <w:t>0.0;</w:t>
            </w:r>
            <w:r>
              <w:rPr/>
              <w:t>2.0;</w:t>
            </w:r>
            <w:r>
              <w:rPr/>
              <w:t>）</w:t>
            </w:r>
          </w:p>
        </w:tc>
        <w:tc>
          <w:tcPr>
            <w:tcW w:type="dxa" w:w="5076"/>
          </w:tcPr>
          <w:p>
            <w:pPr>
              <w:pStyle w:val="null3"/>
              <w:jc w:val="left"/>
            </w:pPr>
            <w:r>
              <w:rPr/>
              <w:t>根据供应商提供的售后服务方案进行综合评审：包括但不限于：①服务响应时间及便利程度、②响应机制、③问题解决流程、④服务能力、⑤售后回访计划等方面。能提供以上内容的，得2分。如方案未包括以上内容的或未提供的，不得分，下列“售后服务方案B”也不得分。</w:t>
            </w:r>
          </w:p>
        </w:tc>
      </w:tr>
      <w:tr>
        <w:tc>
          <w:tcPr>
            <w:tcW w:type="dxa" w:w="922"/>
            <w:gridSpan w:val="2"/>
            <w:vMerge/>
          </w:tcPr>
          <w:p/>
        </w:tc>
        <w:tc>
          <w:tcPr>
            <w:tcW w:type="dxa" w:w="2307"/>
          </w:tcPr>
          <w:p>
            <w:pPr>
              <w:pStyle w:val="null3"/>
              <w:jc w:val="left"/>
            </w:pPr>
            <w:r>
              <w:rPr/>
              <w:t>售后服务方案B (5.0分)</w:t>
            </w:r>
            <w:r>
              <w:rPr/>
              <w:t>，（等次分值选择：</w:t>
            </w:r>
            <w:r>
              <w:rPr/>
              <w:t>0.0;</w:t>
            </w:r>
            <w:r>
              <w:rPr/>
              <w:t>1.0;</w:t>
            </w:r>
            <w:r>
              <w:rPr/>
              <w:t>3.0;</w:t>
            </w:r>
            <w:r>
              <w:rPr/>
              <w:t>5.0;</w:t>
            </w:r>
            <w:r>
              <w:rPr/>
              <w:t>）</w:t>
            </w:r>
          </w:p>
        </w:tc>
        <w:tc>
          <w:tcPr>
            <w:tcW w:type="dxa" w:w="5076"/>
          </w:tcPr>
          <w:p>
            <w:pPr>
              <w:pStyle w:val="null3"/>
              <w:jc w:val="left"/>
            </w:pPr>
            <w:r>
              <w:rPr/>
              <w:t>根据售后服务方案的针对性、可行性、便捷性等综合评审： （1）完全满足且优于采购需求的，得5分； （2）满足采购需求的，得3分； （3）部分满足采购需求的，得1分； （4）不提供售后服务方案或其他，不得分。</w:t>
            </w:r>
          </w:p>
        </w:tc>
      </w:tr>
      <w:tr>
        <w:tc>
          <w:tcPr>
            <w:tcW w:type="dxa" w:w="922"/>
            <w:gridSpan w:val="2"/>
            <w:vMerge/>
          </w:tcPr>
          <w:p/>
        </w:tc>
        <w:tc>
          <w:tcPr>
            <w:tcW w:type="dxa" w:w="2307"/>
          </w:tcPr>
          <w:p>
            <w:pPr>
              <w:pStyle w:val="null3"/>
              <w:jc w:val="left"/>
            </w:pPr>
            <w:r>
              <w:rPr/>
              <w:t>增值服务方案A (2.0分)</w:t>
            </w:r>
            <w:r>
              <w:rPr/>
              <w:t>，（等次分值选择：</w:t>
            </w:r>
            <w:r>
              <w:rPr/>
              <w:t>0.0;</w:t>
            </w:r>
            <w:r>
              <w:rPr/>
              <w:t>2.0;</w:t>
            </w:r>
            <w:r>
              <w:rPr/>
              <w:t>）</w:t>
            </w:r>
          </w:p>
        </w:tc>
        <w:tc>
          <w:tcPr>
            <w:tcW w:type="dxa" w:w="5076"/>
          </w:tcPr>
          <w:p>
            <w:pPr>
              <w:pStyle w:val="null3"/>
              <w:jc w:val="left"/>
            </w:pPr>
            <w:r>
              <w:rPr/>
              <w:t>根据供应商提供的增值服务方案进行评审，包含不限于：①电力设备预防性试验、②绝缘工器具检测能力、③培训与实战演练、④用电数据分析及节能建议、⑤免费提供充电桩建设、光伏建设与储能建设运营方案，能提供以上内容的，得2分。如方案未包括以上内容的或未提供的，不得分，下列“增值服务方案B”也不得分。</w:t>
            </w:r>
          </w:p>
        </w:tc>
      </w:tr>
      <w:tr>
        <w:tc>
          <w:tcPr>
            <w:tcW w:type="dxa" w:w="922"/>
            <w:gridSpan w:val="2"/>
            <w:vMerge/>
          </w:tcPr>
          <w:p/>
        </w:tc>
        <w:tc>
          <w:tcPr>
            <w:tcW w:type="dxa" w:w="2307"/>
          </w:tcPr>
          <w:p>
            <w:pPr>
              <w:pStyle w:val="null3"/>
              <w:jc w:val="left"/>
            </w:pPr>
            <w:r>
              <w:rPr/>
              <w:t>增值服务方案B (4.0分)</w:t>
            </w:r>
            <w:r>
              <w:rPr/>
              <w:t>，（等次分值选择：</w:t>
            </w:r>
            <w:r>
              <w:rPr/>
              <w:t>0.0;</w:t>
            </w:r>
            <w:r>
              <w:rPr/>
              <w:t>1.0;</w:t>
            </w:r>
            <w:r>
              <w:rPr/>
              <w:t>2.0;</w:t>
            </w:r>
            <w:r>
              <w:rPr/>
              <w:t>4.0;</w:t>
            </w:r>
            <w:r>
              <w:rPr/>
              <w:t>）</w:t>
            </w:r>
          </w:p>
        </w:tc>
        <w:tc>
          <w:tcPr>
            <w:tcW w:type="dxa" w:w="5076"/>
          </w:tcPr>
          <w:p>
            <w:pPr>
              <w:pStyle w:val="null3"/>
              <w:jc w:val="left"/>
            </w:pPr>
            <w:r>
              <w:rPr/>
              <w:t>根据增值服务方案的实用性、可行性等综合评审： （1）完全满足且优于采购需求的，得4分； （2）满足采购需求的，得2分； （3）部分满足采购需求的，得1分； （4）不提供增值服务方案或其他，不得分。</w:t>
            </w:r>
          </w:p>
        </w:tc>
      </w:tr>
      <w:tr>
        <w:tc>
          <w:tcPr>
            <w:tcW w:type="dxa" w:w="922"/>
            <w:gridSpan w:val="2"/>
            <w:vMerge/>
          </w:tcPr>
          <w:p/>
        </w:tc>
        <w:tc>
          <w:tcPr>
            <w:tcW w:type="dxa" w:w="2307"/>
          </w:tcPr>
          <w:p>
            <w:pPr>
              <w:pStyle w:val="null3"/>
              <w:jc w:val="left"/>
            </w:pPr>
            <w:r>
              <w:rPr/>
              <w:t>应急方案A (2.0分)</w:t>
            </w:r>
            <w:r>
              <w:rPr/>
              <w:t>，（等次分值选择：</w:t>
            </w:r>
            <w:r>
              <w:rPr/>
              <w:t>0.0;</w:t>
            </w:r>
            <w:r>
              <w:rPr/>
              <w:t>2.0;</w:t>
            </w:r>
            <w:r>
              <w:rPr/>
              <w:t>）</w:t>
            </w:r>
          </w:p>
        </w:tc>
        <w:tc>
          <w:tcPr>
            <w:tcW w:type="dxa" w:w="5076"/>
          </w:tcPr>
          <w:p>
            <w:pPr>
              <w:pStyle w:val="null3"/>
              <w:jc w:val="left"/>
            </w:pPr>
            <w:r>
              <w:rPr/>
              <w:t>根据供应商提供的应急方案进行评审，包含不限于：①应急响应时间、②停电预警及计划性停电应急处理方案、③突发用电故障应急处理方案、④用电高峰期的电力保障措施、⑤特殊情况下的电力调度方案，能提供以上内容的，得2分。如方案未包括以上内容的或未提供的，不得分，下列“应急方案B”也不得分。</w:t>
            </w:r>
          </w:p>
        </w:tc>
      </w:tr>
      <w:tr>
        <w:tc>
          <w:tcPr>
            <w:tcW w:type="dxa" w:w="922"/>
            <w:gridSpan w:val="2"/>
            <w:vMerge/>
          </w:tcPr>
          <w:p/>
        </w:tc>
        <w:tc>
          <w:tcPr>
            <w:tcW w:type="dxa" w:w="2307"/>
          </w:tcPr>
          <w:p>
            <w:pPr>
              <w:pStyle w:val="null3"/>
              <w:jc w:val="left"/>
            </w:pPr>
            <w:r>
              <w:rPr/>
              <w:t>应急方案B (4.0分)</w:t>
            </w:r>
            <w:r>
              <w:rPr/>
              <w:t>，（等次分值选择：</w:t>
            </w:r>
            <w:r>
              <w:rPr/>
              <w:t>0.0;</w:t>
            </w:r>
            <w:r>
              <w:rPr/>
              <w:t>1.0;</w:t>
            </w:r>
            <w:r>
              <w:rPr/>
              <w:t>2.0;</w:t>
            </w:r>
            <w:r>
              <w:rPr/>
              <w:t>4.0;</w:t>
            </w:r>
            <w:r>
              <w:rPr/>
              <w:t>）</w:t>
            </w:r>
          </w:p>
        </w:tc>
        <w:tc>
          <w:tcPr>
            <w:tcW w:type="dxa" w:w="5076"/>
          </w:tcPr>
          <w:p>
            <w:pPr>
              <w:pStyle w:val="null3"/>
              <w:jc w:val="left"/>
            </w:pPr>
            <w:r>
              <w:rPr/>
              <w:t>根据应急方案的可行性、针对性等综合评审： （1）完全满足且优于采购需求的，得4分； （2）满足采购需求的，得2分； （3）部分满足采购需求的，得1分； （4）不提供应急方案或其他，不得分。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(7.0分)</w:t>
            </w:r>
          </w:p>
        </w:tc>
        <w:tc>
          <w:tcPr>
            <w:tcW w:type="dxa" w:w="5076"/>
          </w:tcPr>
          <w:p>
            <w:pPr>
              <w:pStyle w:val="null3"/>
              <w:jc w:val="left"/>
            </w:pPr>
            <w:r>
              <w:rPr/>
              <w:t>供应商每提供一项2023年1月1日至今（以合同签订时间为准，分支机构投标的，总公司（总所）业绩可纳入评审）同类项目业绩得2分，本项最高得7分。 备注：提供合同关键页（含签订合同双方的单位名称、合同项目名称、合同概况、签订合同双方的落款盖章、签订日期的关键页）扫描件作为同类业绩证明资料。</w:t>
            </w:r>
          </w:p>
        </w:tc>
      </w:tr>
      <w:tr>
        <w:tc>
          <w:tcPr>
            <w:tcW w:type="dxa" w:w="922"/>
            <w:gridSpan w:val="2"/>
            <w:vMerge/>
          </w:tcPr>
          <w:p/>
        </w:tc>
        <w:tc>
          <w:tcPr>
            <w:tcW w:type="dxa" w:w="2307"/>
          </w:tcPr>
          <w:p>
            <w:pPr>
              <w:pStyle w:val="null3"/>
              <w:jc w:val="left"/>
            </w:pPr>
            <w:r>
              <w:rPr/>
              <w:t>服务评价 (7.0分)</w:t>
            </w:r>
          </w:p>
        </w:tc>
        <w:tc>
          <w:tcPr>
            <w:tcW w:type="dxa" w:w="5076"/>
          </w:tcPr>
          <w:p>
            <w:pPr>
              <w:pStyle w:val="null3"/>
              <w:jc w:val="left"/>
            </w:pPr>
            <w:r>
              <w:rPr/>
              <w:t>供应商上述所提供的2023年1月1日至今承接的“同类项目业绩”的服务评价，获得项目用户考核正面评价(优秀、满意或以分值体现的则≥90分）的，每提供一份证明材料得2分，最高得7分。不提供不得分。注:提供相关证明文件复印件并加盖供应商单位公章，不提供不得分。同一项目有多份评价的按一份计算，不重复得分。</w:t>
            </w:r>
          </w:p>
        </w:tc>
      </w:tr>
      <w:tr>
        <w:tc>
          <w:tcPr>
            <w:tcW w:type="dxa" w:w="922"/>
            <w:gridSpan w:val="2"/>
            <w:vMerge/>
          </w:tcPr>
          <w:p/>
        </w:tc>
        <w:tc>
          <w:tcPr>
            <w:tcW w:type="dxa" w:w="2307"/>
          </w:tcPr>
          <w:p>
            <w:pPr>
              <w:pStyle w:val="null3"/>
              <w:jc w:val="left"/>
            </w:pPr>
            <w:r>
              <w:rPr/>
              <w:t>团队配置情况 (10.0分)</w:t>
            </w:r>
          </w:p>
        </w:tc>
        <w:tc>
          <w:tcPr>
            <w:tcW w:type="dxa" w:w="5076"/>
          </w:tcPr>
          <w:p>
            <w:pPr>
              <w:pStyle w:val="null3"/>
              <w:jc w:val="left"/>
            </w:pPr>
            <w:r>
              <w:rPr/>
              <w:t>根据供应商拟投入的团队配置情况进行评审：团队成员中具有电力相关专业职称证书或电力交易员证书，每提供1名，得2分，本项最高得10分。 备注：提供以上人员的相关证书复印件及投标截止日之前六个月以内任意一个月投标单位为其购买的社保证明材料。</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供应商具有质量管理体系认证证书、职业健康安全管理体系认证证书、环境管理体系认证证书的，每提供一项证书，得2分，本项最高得6分。 备注：提供有效的认证证书扫描件及全国认证认可信息公共服务平台（http://cx.cnca.cn/CertECloud/index/index/page）的查询截图，查询结果必须显示为有效状态，方可获得相应分数，否则不得分。如因供应商成立时间未达到认证所需时间要求，且办理认证所需合理时间不足导致未能获得认证证书的，供应商可提供相关证明材料，可获得相应分数，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竞争性磋商文件要求且投标价格最低的投标报价为评标基准价。）最低报价不是中标的唯一依据。【注：满足竞争性磋商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before="105"/>
        <w:ind w:left="30"/>
        <w:jc w:val="both"/>
      </w:pPr>
      <w:r>
        <w:rPr>
          <w:sz w:val="18"/>
          <w:b/>
        </w:rPr>
        <w:t>合同编号：</w:t>
      </w:r>
    </w:p>
    <w:p>
      <w:pPr>
        <w:pStyle w:val="null3"/>
        <w:spacing w:before="180"/>
        <w:ind w:left="15"/>
        <w:jc w:val="center"/>
      </w:pPr>
      <w:r>
        <w:rPr>
          <w:sz w:val="28"/>
        </w:rPr>
        <w:t>（系统自动生成：年月</w:t>
      </w:r>
      <w:r>
        <w:rPr>
          <w:sz w:val="28"/>
        </w:rPr>
        <w:t>+售电公司代码+</w:t>
      </w:r>
      <w:r>
        <w:rPr>
          <w:sz w:val="21"/>
        </w:rPr>
        <w:t xml:space="preserve"> </w:t>
      </w:r>
      <w:r>
        <w:rPr>
          <w:sz w:val="28"/>
        </w:rPr>
        <w:t>电力用户代码</w:t>
      </w:r>
      <w:r>
        <w:rPr>
          <w:sz w:val="28"/>
        </w:rPr>
        <w:t>+合同序号）</w:t>
      </w:r>
    </w:p>
    <w:p>
      <w:pPr>
        <w:pStyle w:val="null3"/>
        <w:jc w:val="center"/>
      </w:pPr>
      <w:r>
        <w:rPr>
          <w:sz w:val="48"/>
          <w:b/>
        </w:rPr>
        <w:t>2XXX</w:t>
      </w:r>
      <w:r>
        <w:rPr>
          <w:sz w:val="18"/>
          <w:b/>
        </w:rPr>
        <w:t xml:space="preserve"> </w:t>
      </w:r>
      <w:r>
        <w:rPr>
          <w:sz w:val="48"/>
          <w:b/>
        </w:rPr>
        <w:t>年</w:t>
      </w:r>
      <w:r>
        <w:rPr>
          <w:sz w:val="18"/>
        </w:rPr>
        <w:t xml:space="preserve"> </w:t>
      </w:r>
      <w:r>
        <w:rPr>
          <w:sz w:val="48"/>
          <w:b/>
        </w:rPr>
        <w:t>广</w:t>
      </w:r>
      <w:r>
        <w:rPr>
          <w:sz w:val="18"/>
        </w:rPr>
        <w:t xml:space="preserve"> </w:t>
      </w:r>
      <w:r>
        <w:rPr>
          <w:sz w:val="48"/>
          <w:b/>
        </w:rPr>
        <w:t>东</w:t>
      </w:r>
      <w:r>
        <w:rPr>
          <w:sz w:val="18"/>
        </w:rPr>
        <w:t xml:space="preserve"> </w:t>
      </w:r>
      <w:r>
        <w:rPr>
          <w:sz w:val="48"/>
          <w:b/>
        </w:rPr>
        <w:t>电</w:t>
      </w:r>
      <w:r>
        <w:rPr>
          <w:sz w:val="18"/>
        </w:rPr>
        <w:t xml:space="preserve"> </w:t>
      </w:r>
      <w:r>
        <w:rPr>
          <w:sz w:val="48"/>
          <w:b/>
        </w:rPr>
        <w:t>力</w:t>
      </w:r>
      <w:r>
        <w:rPr>
          <w:sz w:val="18"/>
        </w:rPr>
        <w:t xml:space="preserve"> </w:t>
      </w:r>
      <w:r>
        <w:rPr>
          <w:sz w:val="48"/>
          <w:b/>
        </w:rPr>
        <w:t>市</w:t>
      </w:r>
      <w:r>
        <w:rPr>
          <w:sz w:val="18"/>
        </w:rPr>
        <w:t xml:space="preserve"> </w:t>
      </w:r>
      <w:r>
        <w:rPr>
          <w:sz w:val="48"/>
          <w:b/>
        </w:rPr>
        <w:t>场</w:t>
      </w:r>
    </w:p>
    <w:p>
      <w:pPr>
        <w:pStyle w:val="null3"/>
        <w:spacing w:before="135"/>
        <w:jc w:val="center"/>
      </w:pPr>
      <w:r>
        <w:rPr>
          <w:sz w:val="48"/>
          <w:b/>
        </w:rPr>
        <w:t>售</w:t>
      </w:r>
      <w:r>
        <w:rPr>
          <w:sz w:val="18"/>
        </w:rPr>
        <w:t xml:space="preserve"> </w:t>
      </w:r>
      <w:r>
        <w:rPr>
          <w:sz w:val="48"/>
          <w:b/>
        </w:rPr>
        <w:t>电</w:t>
      </w:r>
      <w:r>
        <w:rPr>
          <w:sz w:val="18"/>
        </w:rPr>
        <w:t xml:space="preserve"> </w:t>
      </w:r>
      <w:r>
        <w:rPr>
          <w:sz w:val="48"/>
          <w:b/>
        </w:rPr>
        <w:t>公</w:t>
      </w:r>
      <w:r>
        <w:rPr>
          <w:sz w:val="18"/>
        </w:rPr>
        <w:t xml:space="preserve"> </w:t>
      </w:r>
      <w:r>
        <w:rPr>
          <w:sz w:val="48"/>
          <w:b/>
        </w:rPr>
        <w:t>司与</w:t>
      </w:r>
      <w:r>
        <w:rPr>
          <w:sz w:val="18"/>
        </w:rPr>
        <w:t xml:space="preserve"> </w:t>
      </w:r>
      <w:r>
        <w:rPr>
          <w:sz w:val="48"/>
          <w:b/>
        </w:rPr>
        <w:t>电</w:t>
      </w:r>
      <w:r>
        <w:rPr>
          <w:sz w:val="18"/>
        </w:rPr>
        <w:t xml:space="preserve"> </w:t>
      </w:r>
      <w:r>
        <w:rPr>
          <w:sz w:val="48"/>
          <w:b/>
        </w:rPr>
        <w:t>力</w:t>
      </w:r>
      <w:r>
        <w:rPr>
          <w:sz w:val="18"/>
        </w:rPr>
        <w:t xml:space="preserve"> </w:t>
      </w:r>
      <w:r>
        <w:rPr>
          <w:sz w:val="48"/>
          <w:b/>
        </w:rPr>
        <w:t>用</w:t>
      </w:r>
      <w:r>
        <w:rPr>
          <w:sz w:val="18"/>
        </w:rPr>
        <w:t xml:space="preserve"> </w:t>
      </w:r>
      <w:r>
        <w:rPr>
          <w:sz w:val="48"/>
          <w:b/>
        </w:rPr>
        <w:t>户</w:t>
      </w:r>
      <w:r>
        <w:rPr>
          <w:sz w:val="18"/>
        </w:rPr>
        <w:t xml:space="preserve"> </w:t>
      </w:r>
      <w:r>
        <w:rPr>
          <w:sz w:val="48"/>
          <w:b/>
        </w:rPr>
        <w:t>竞</w:t>
      </w:r>
      <w:r>
        <w:rPr>
          <w:sz w:val="18"/>
        </w:rPr>
        <w:t xml:space="preserve"> </w:t>
      </w:r>
      <w:r>
        <w:rPr>
          <w:sz w:val="48"/>
          <w:b/>
        </w:rPr>
        <w:t>价</w:t>
      </w:r>
      <w:r>
        <w:rPr>
          <w:sz w:val="18"/>
        </w:rPr>
        <w:t xml:space="preserve"> </w:t>
      </w:r>
      <w:r>
        <w:rPr>
          <w:sz w:val="48"/>
          <w:b/>
        </w:rPr>
        <w:t>配</w:t>
      </w:r>
      <w:r>
        <w:rPr>
          <w:sz w:val="18"/>
        </w:rPr>
        <w:t xml:space="preserve"> </w:t>
      </w:r>
      <w:r>
        <w:rPr>
          <w:sz w:val="48"/>
          <w:b/>
        </w:rPr>
        <w:t>置</w:t>
      </w:r>
      <w:r>
        <w:rPr>
          <w:sz w:val="18"/>
        </w:rPr>
        <w:t xml:space="preserve"> </w:t>
      </w:r>
      <w:r>
        <w:rPr>
          <w:sz w:val="48"/>
          <w:b/>
        </w:rPr>
        <w:t>模</w:t>
      </w:r>
      <w:r>
        <w:rPr>
          <w:sz w:val="18"/>
        </w:rPr>
        <w:t xml:space="preserve"> </w:t>
      </w:r>
      <w:r>
        <w:rPr>
          <w:sz w:val="48"/>
          <w:b/>
        </w:rPr>
        <w:t>式</w:t>
      </w:r>
    </w:p>
    <w:p>
      <w:pPr>
        <w:pStyle w:val="null3"/>
        <w:spacing w:before="135"/>
        <w:jc w:val="center"/>
      </w:pPr>
      <w:r>
        <w:rPr>
          <w:sz w:val="48"/>
          <w:b/>
        </w:rPr>
        <w:t>零售交易合同</w:t>
      </w:r>
    </w:p>
    <w:p>
      <w:pPr>
        <w:pStyle w:val="null3"/>
        <w:spacing w:before="135"/>
        <w:jc w:val="center"/>
      </w:pPr>
      <w:r>
        <w:rPr>
          <w:sz w:val="48"/>
          <w:b/>
        </w:rPr>
        <w:t>（</w:t>
      </w:r>
      <w:r>
        <w:rPr>
          <w:sz w:val="48"/>
          <w:b/>
        </w:rPr>
        <w:t>2025版）</w:t>
      </w:r>
    </w:p>
    <w:p>
      <w:pPr>
        <w:pStyle w:val="null3"/>
        <w:jc w:val="center"/>
      </w:pPr>
      <w:r>
        <w:br/>
      </w:r>
    </w:p>
    <w:p>
      <w:pPr>
        <w:pStyle w:val="null3"/>
        <w:jc w:val="center"/>
      </w:pPr>
      <w:r>
        <w:br/>
      </w:r>
      <w:r>
        <w:br/>
      </w:r>
      <w:r>
        <w:br/>
      </w:r>
      <w:r>
        <w:br/>
      </w:r>
    </w:p>
    <w:p>
      <w:pPr>
        <w:pStyle w:val="null3"/>
      </w:pPr>
      <w:r>
        <w:rPr>
          <w:sz w:val="28"/>
        </w:rPr>
        <w:t>甲方（电力用户）：</w:t>
      </w:r>
      <w:r>
        <w:rPr>
          <w:u w:val="single"/>
        </w:rPr>
        <w:t xml:space="preserve">                  </w:t>
      </w:r>
      <w:r>
        <w:rPr/>
        <w:t xml:space="preserve">                         </w:t>
      </w:r>
    </w:p>
    <w:p>
      <w:pPr>
        <w:pStyle w:val="null3"/>
        <w:spacing w:before="180" w:after="120"/>
        <w:ind w:firstLine="1400"/>
        <w:jc w:val="both"/>
      </w:pPr>
      <w:r>
        <w:rPr>
          <w:sz w:val="28"/>
        </w:rPr>
        <w:t>乙方（售电公司）：</w:t>
      </w:r>
      <w:r>
        <w:rPr>
          <w:u w:val="single"/>
        </w:rPr>
        <w:t xml:space="preserve">                  </w:t>
      </w:r>
      <w:r>
        <w:rPr/>
        <w:t xml:space="preserve">                           </w:t>
      </w:r>
    </w:p>
    <w:p>
      <w:pPr>
        <w:pStyle w:val="null3"/>
        <w:spacing w:before="180" w:after="120"/>
        <w:ind w:left="3060"/>
        <w:jc w:val="both"/>
      </w:pPr>
      <w:r>
        <w:rPr>
          <w:u w:val="single"/>
        </w:rPr>
        <w:t xml:space="preserve">         </w:t>
      </w:r>
      <w:r>
        <w:rPr>
          <w:sz w:val="28"/>
        </w:rPr>
        <w:t>年</w:t>
      </w:r>
      <w:r>
        <w:rPr>
          <w:u w:val="single"/>
        </w:rPr>
        <w:t xml:space="preserve">         </w:t>
      </w:r>
      <w:r>
        <w:rPr>
          <w:sz w:val="28"/>
        </w:rPr>
        <w:t>月</w:t>
      </w:r>
    </w:p>
    <w:p>
      <w:pPr>
        <w:pStyle w:val="null3"/>
      </w:pPr>
      <w:r>
        <w:rPr>
          <w:sz w:val="32"/>
          <w:b/>
        </w:rPr>
        <w:t>合同范本使用说明</w:t>
      </w:r>
    </w:p>
    <w:p>
      <w:pPr>
        <w:pStyle w:val="null3"/>
        <w:ind w:firstLine="420"/>
        <w:jc w:val="both"/>
      </w:pPr>
      <w:r>
        <w:rPr>
          <w:sz w:val="21"/>
        </w:rPr>
        <w:t>一、本范本于</w:t>
      </w:r>
      <w:r>
        <w:rPr>
          <w:sz w:val="21"/>
        </w:rPr>
        <w:t xml:space="preserve"> </w:t>
      </w:r>
      <w:r>
        <w:rPr>
          <w:sz w:val="21"/>
        </w:rPr>
        <w:t>2025年经广东电力市场管理委员会审议通过并向</w:t>
      </w:r>
      <w:r>
        <w:rPr>
          <w:sz w:val="21"/>
        </w:rPr>
        <w:t>政府主管部</w:t>
      </w:r>
      <w:r>
        <w:rPr>
          <w:sz w:val="21"/>
        </w:rPr>
        <w:t>门报备，适用于售电公司与电力用户在广东电力</w:t>
      </w:r>
      <w:r>
        <w:rPr>
          <w:sz w:val="21"/>
        </w:rPr>
        <w:t>市场开展的</w:t>
      </w:r>
      <w:r>
        <w:rPr>
          <w:sz w:val="21"/>
          <w:b/>
        </w:rPr>
        <w:t>竞价配置模式</w:t>
      </w:r>
      <w:r>
        <w:rPr>
          <w:sz w:val="21"/>
        </w:rPr>
        <w:t>电能量</w:t>
      </w:r>
      <w:r>
        <w:rPr>
          <w:sz w:val="21"/>
        </w:rPr>
        <w:t>零售交易及结算，明确双方的权利义务、零售套餐模式及合同变更及解除等条款。</w:t>
      </w:r>
    </w:p>
    <w:p>
      <w:pPr>
        <w:pStyle w:val="null3"/>
        <w:ind w:firstLine="404"/>
        <w:jc w:val="both"/>
      </w:pPr>
      <w:r>
        <w:rPr>
          <w:sz w:val="21"/>
        </w:rPr>
        <w:t>二、本范本按照</w:t>
      </w:r>
      <w:r>
        <w:rPr>
          <w:sz w:val="21"/>
        </w:rPr>
        <w:t>“合同框架文本（合同正文）+合同附件内容（主要指零售交</w:t>
      </w:r>
      <w:r>
        <w:rPr>
          <w:sz w:val="21"/>
        </w:rPr>
        <w:t>易信息及套餐模式说明，包括不限于附件一、附件二、附件三</w:t>
      </w:r>
      <w:r>
        <w:rPr>
          <w:sz w:val="21"/>
        </w:rPr>
        <w:t>及附件四）</w:t>
      </w:r>
      <w:r>
        <w:rPr>
          <w:sz w:val="21"/>
        </w:rPr>
        <w:t>”的架</w:t>
      </w:r>
      <w:r>
        <w:rPr>
          <w:sz w:val="21"/>
        </w:rPr>
        <w:t>构模式设定。本范本正文原则上长期复用，不作频繁修订，附件（主要指零售交易信息及套餐模式说明）随政策文件要求及广东电力市场最新边界信息、套餐模</w:t>
      </w:r>
      <w:r>
        <w:rPr>
          <w:sz w:val="21"/>
        </w:rPr>
        <w:t>式（含参数限值）更新则作同步调整。</w:t>
      </w:r>
    </w:p>
    <w:p>
      <w:pPr>
        <w:pStyle w:val="null3"/>
        <w:ind w:firstLine="396"/>
        <w:jc w:val="both"/>
      </w:pPr>
      <w:r>
        <w:rPr>
          <w:sz w:val="21"/>
        </w:rPr>
        <w:t>三、当国家及省级政策规则、市场规则发生变化时，广东电力交易中心（</w:t>
      </w:r>
      <w:r>
        <w:rPr>
          <w:sz w:val="21"/>
        </w:rPr>
        <w:t xml:space="preserve"> </w:t>
      </w:r>
      <w:r>
        <w:rPr>
          <w:sz w:val="21"/>
        </w:rPr>
        <w:t>以</w:t>
      </w:r>
      <w:r>
        <w:rPr>
          <w:sz w:val="21"/>
        </w:rPr>
        <w:t>下简称</w:t>
      </w:r>
      <w:r>
        <w:rPr>
          <w:sz w:val="21"/>
        </w:rPr>
        <w:t>“交易中心”）可按规定流程对本合同范本进行整体或局部修编并</w:t>
      </w:r>
      <w:r>
        <w:rPr>
          <w:sz w:val="21"/>
        </w:rPr>
        <w:t>发布，包括不限于合同框架文本（合同正文）、合同附件内容（主要指零售交易信息及套</w:t>
      </w:r>
      <w:r>
        <w:rPr>
          <w:sz w:val="21"/>
        </w:rPr>
        <w:t>餐模式说明）。若</w:t>
      </w:r>
      <w:r>
        <w:rPr>
          <w:sz w:val="21"/>
        </w:rPr>
        <w:t xml:space="preserve"> </w:t>
      </w:r>
      <w:r>
        <w:rPr>
          <w:sz w:val="21"/>
        </w:rPr>
        <w:t>2026 年及以后未发布新版本，本范本可继续使用；若已按规</w:t>
      </w:r>
      <w:r>
        <w:rPr>
          <w:sz w:val="21"/>
        </w:rPr>
        <w:t>定流程对本范本进行修编发布新版本，则以市场政策或相关交易通知明确的时间</w:t>
      </w:r>
      <w:r>
        <w:rPr>
          <w:sz w:val="21"/>
        </w:rPr>
        <w:t>节点在广东电力市场电能量零售交易启用最</w:t>
      </w:r>
      <w:r>
        <w:rPr>
          <w:sz w:val="21"/>
        </w:rPr>
        <w:t>新版本的合同范本。</w:t>
      </w:r>
    </w:p>
    <w:p>
      <w:pPr>
        <w:pStyle w:val="null3"/>
        <w:ind w:firstLine="400"/>
        <w:jc w:val="both"/>
      </w:pPr>
      <w:r>
        <w:rPr>
          <w:sz w:val="21"/>
        </w:rPr>
        <w:t>四、售电公司与零售用户在广东电力交易平台（</w:t>
      </w:r>
      <w:r>
        <w:rPr>
          <w:sz w:val="21"/>
        </w:rPr>
        <w:t xml:space="preserve"> </w:t>
      </w:r>
      <w:r>
        <w:rPr>
          <w:sz w:val="21"/>
        </w:rPr>
        <w:t>以下简</w:t>
      </w:r>
      <w:r>
        <w:rPr>
          <w:sz w:val="21"/>
        </w:rPr>
        <w:t>称</w:t>
      </w:r>
      <w:r>
        <w:rPr>
          <w:sz w:val="21"/>
        </w:rPr>
        <w:t>“交易平台”）中按</w:t>
      </w:r>
      <w:r>
        <w:rPr>
          <w:sz w:val="21"/>
        </w:rPr>
        <w:t>照本范本签订电子合同，双方遵循交易平台流程确认合同内容并加盖电子印</w:t>
      </w:r>
      <w:r>
        <w:rPr>
          <w:sz w:val="21"/>
        </w:rPr>
        <w:t>章后</w:t>
      </w:r>
      <w:r>
        <w:rPr>
          <w:sz w:val="21"/>
        </w:rPr>
        <w:t>合同生效，并自动完成零售合同登记备案。交易中心以双方在交易平台签订</w:t>
      </w:r>
      <w:r>
        <w:rPr>
          <w:sz w:val="21"/>
        </w:rPr>
        <w:t>的线</w:t>
      </w:r>
      <w:r>
        <w:rPr>
          <w:sz w:val="21"/>
        </w:rPr>
        <w:t>上电子合同为依据开展零售市场月度结算。</w:t>
      </w:r>
    </w:p>
    <w:p>
      <w:pPr>
        <w:pStyle w:val="null3"/>
        <w:ind w:firstLine="408"/>
        <w:jc w:val="both"/>
      </w:pPr>
      <w:r>
        <w:rPr>
          <w:sz w:val="21"/>
        </w:rPr>
        <w:t>五、本合同范本附件一和附件二列明的零售</w:t>
      </w:r>
      <w:r>
        <w:rPr>
          <w:sz w:val="21"/>
        </w:rPr>
        <w:t>套餐模式及参数数值，由合同双</w:t>
      </w:r>
      <w:r>
        <w:rPr>
          <w:sz w:val="21"/>
        </w:rPr>
        <w:t>方根据交易平台提供的量、价、率等字段约定组合生成零售结算模式，再</w:t>
      </w:r>
      <w:r>
        <w:rPr>
          <w:sz w:val="21"/>
        </w:rPr>
        <w:t>自动生</w:t>
      </w:r>
      <w:r>
        <w:rPr>
          <w:sz w:val="21"/>
        </w:rPr>
        <w:t>成合同条款，并同步在交易平台固化。</w:t>
      </w:r>
    </w:p>
    <w:p>
      <w:pPr>
        <w:pStyle w:val="null3"/>
        <w:ind w:firstLine="408"/>
        <w:jc w:val="both"/>
      </w:pPr>
      <w:r>
        <w:rPr>
          <w:sz w:val="21"/>
        </w:rPr>
        <w:t>六、在实施过程中，交易中心会根据市场实际需求优化调整零售套餐模式，</w:t>
      </w:r>
      <w:r>
        <w:rPr>
          <w:sz w:val="21"/>
        </w:rPr>
        <w:t>最大限度满足零售市场需求。</w:t>
      </w:r>
    </w:p>
    <w:p>
      <w:pPr>
        <w:pStyle w:val="null3"/>
        <w:ind w:firstLine="424"/>
        <w:jc w:val="both"/>
      </w:pPr>
      <w:r>
        <w:rPr>
          <w:sz w:val="21"/>
        </w:rPr>
        <w:t>七、</w:t>
      </w:r>
      <w:r>
        <w:rPr>
          <w:sz w:val="21"/>
          <w:b/>
        </w:rPr>
        <w:t>本合同范本仅用于支持合同双方约定的电能量零售交易和电费结算，</w:t>
      </w:r>
      <w:r>
        <w:rPr>
          <w:sz w:val="21"/>
          <w:b/>
        </w:rPr>
        <w:t>不含需求响应零售结算和绿电交易结算。</w:t>
      </w:r>
      <w:r>
        <w:rPr>
          <w:sz w:val="21"/>
        </w:rPr>
        <w:t>若涉及其他需开展资金结算的增值服务，</w:t>
      </w:r>
      <w:r>
        <w:rPr>
          <w:sz w:val="21"/>
        </w:rPr>
        <w:t>合同双方可另行签订合同并自主结算。</w:t>
      </w:r>
    </w:p>
    <w:p>
      <w:pPr>
        <w:pStyle w:val="null3"/>
        <w:ind w:firstLine="428"/>
      </w:pPr>
      <w:r>
        <w:rPr>
          <w:sz w:val="21"/>
        </w:rPr>
        <w:t>八、</w:t>
      </w:r>
      <w:r>
        <w:rPr>
          <w:sz w:val="21"/>
          <w:b/>
        </w:rPr>
        <w:t>合同双方均已完整阅读、完全理解并一致同</w:t>
      </w:r>
      <w:r>
        <w:rPr>
          <w:sz w:val="21"/>
          <w:b/>
        </w:rPr>
        <w:t>意上述全部内容。选择使</w:t>
      </w:r>
      <w:r>
        <w:rPr>
          <w:sz w:val="21"/>
          <w:b/>
        </w:rPr>
        <w:t>用本合同范本，即视为双方知悉并同意本使用说明的全部内容</w:t>
      </w:r>
      <w:r>
        <w:rPr>
          <w:sz w:val="21"/>
        </w:rPr>
        <w:t>。</w:t>
      </w:r>
    </w:p>
    <w:p>
      <w:pPr>
        <w:pStyle w:val="null3"/>
      </w:pPr>
      <w:r>
        <w:rPr>
          <w:sz w:val="32"/>
          <w:b/>
        </w:rPr>
        <w:t>目</w:t>
      </w:r>
      <w:r>
        <w:rPr>
          <w:sz w:val="18"/>
          <w:b/>
        </w:rPr>
        <w:t xml:space="preserve">  </w:t>
      </w:r>
      <w:r>
        <w:rPr>
          <w:sz w:val="32"/>
          <w:b/>
        </w:rPr>
        <w:t>录</w:t>
      </w:r>
    </w:p>
    <w:p>
      <w:pPr>
        <w:pStyle w:val="null3"/>
        <w:ind w:firstLine="420"/>
      </w:pPr>
      <w:r>
        <w:rPr>
          <w:sz w:val="21"/>
        </w:rPr>
        <w:t>第一章</w:t>
      </w:r>
      <w:r>
        <w:rPr>
          <w:sz w:val="21"/>
        </w:rPr>
        <w:t xml:space="preserve">     </w:t>
      </w:r>
      <w:r>
        <w:rPr>
          <w:sz w:val="21"/>
        </w:rPr>
        <w:t>风险提示</w:t>
      </w:r>
    </w:p>
    <w:p>
      <w:pPr>
        <w:pStyle w:val="null3"/>
        <w:ind w:firstLine="420"/>
      </w:pPr>
      <w:r>
        <w:rPr>
          <w:sz w:val="21"/>
        </w:rPr>
        <w:t>第二章</w:t>
      </w:r>
      <w:r>
        <w:rPr>
          <w:sz w:val="21"/>
        </w:rPr>
        <w:t xml:space="preserve">     </w:t>
      </w:r>
      <w:r>
        <w:rPr>
          <w:sz w:val="21"/>
        </w:rPr>
        <w:t>双方签署信息</w:t>
      </w:r>
    </w:p>
    <w:p>
      <w:pPr>
        <w:pStyle w:val="null3"/>
        <w:ind w:firstLine="420"/>
      </w:pPr>
      <w:r>
        <w:rPr>
          <w:sz w:val="21"/>
        </w:rPr>
        <w:t>第三章</w:t>
      </w:r>
      <w:r>
        <w:rPr>
          <w:sz w:val="21"/>
        </w:rPr>
        <w:t xml:space="preserve">     </w:t>
      </w:r>
      <w:r>
        <w:rPr>
          <w:sz w:val="21"/>
        </w:rPr>
        <w:t>双方的权利和义务</w:t>
      </w:r>
    </w:p>
    <w:p>
      <w:pPr>
        <w:pStyle w:val="null3"/>
        <w:ind w:firstLine="420"/>
      </w:pPr>
      <w:r>
        <w:rPr>
          <w:sz w:val="21"/>
        </w:rPr>
        <w:t>第四章</w:t>
      </w:r>
      <w:r>
        <w:rPr>
          <w:sz w:val="21"/>
        </w:rPr>
        <w:t xml:space="preserve">     </w:t>
      </w:r>
      <w:r>
        <w:rPr>
          <w:sz w:val="21"/>
        </w:rPr>
        <w:t>电能量零售交易及结算</w:t>
      </w:r>
    </w:p>
    <w:p>
      <w:pPr>
        <w:pStyle w:val="null3"/>
        <w:ind w:firstLine="420"/>
      </w:pPr>
      <w:r>
        <w:rPr>
          <w:sz w:val="21"/>
        </w:rPr>
        <w:t>第五章</w:t>
      </w:r>
      <w:r>
        <w:rPr>
          <w:sz w:val="21"/>
        </w:rPr>
        <w:t xml:space="preserve">     </w:t>
      </w:r>
      <w:r>
        <w:rPr>
          <w:sz w:val="21"/>
        </w:rPr>
        <w:t>合同违约和赔偿</w:t>
      </w:r>
    </w:p>
    <w:p>
      <w:pPr>
        <w:pStyle w:val="null3"/>
        <w:ind w:firstLine="420"/>
      </w:pPr>
      <w:r>
        <w:rPr>
          <w:sz w:val="21"/>
        </w:rPr>
        <w:t>第六章</w:t>
      </w:r>
      <w:r>
        <w:rPr>
          <w:sz w:val="21"/>
        </w:rPr>
        <w:t xml:space="preserve">     </w:t>
      </w:r>
      <w:r>
        <w:rPr>
          <w:sz w:val="21"/>
        </w:rPr>
        <w:t>合同变更和解除</w:t>
      </w:r>
    </w:p>
    <w:p>
      <w:pPr>
        <w:pStyle w:val="null3"/>
        <w:ind w:firstLine="420"/>
      </w:pPr>
      <w:r>
        <w:rPr>
          <w:sz w:val="21"/>
        </w:rPr>
        <w:t>第七章</w:t>
      </w:r>
      <w:r>
        <w:rPr>
          <w:sz w:val="21"/>
        </w:rPr>
        <w:t xml:space="preserve">     </w:t>
      </w:r>
      <w:r>
        <w:rPr>
          <w:sz w:val="21"/>
        </w:rPr>
        <w:t>争议解决</w:t>
      </w:r>
    </w:p>
    <w:p>
      <w:pPr>
        <w:pStyle w:val="null3"/>
        <w:ind w:firstLine="420"/>
      </w:pPr>
      <w:r>
        <w:rPr>
          <w:sz w:val="21"/>
        </w:rPr>
        <w:t>第八章</w:t>
      </w:r>
      <w:r>
        <w:rPr>
          <w:sz w:val="21"/>
        </w:rPr>
        <w:t xml:space="preserve">     </w:t>
      </w:r>
      <w:r>
        <w:rPr>
          <w:sz w:val="21"/>
        </w:rPr>
        <w:t>其他</w:t>
      </w:r>
    </w:p>
    <w:p>
      <w:pPr>
        <w:pStyle w:val="null3"/>
        <w:ind w:firstLine="420"/>
      </w:pPr>
      <w:r>
        <w:rPr>
          <w:sz w:val="21"/>
        </w:rPr>
        <w:t>附件一</w:t>
      </w:r>
      <w:r>
        <w:rPr>
          <w:sz w:val="21"/>
        </w:rPr>
        <w:t xml:space="preserve">     </w:t>
      </w:r>
      <w:r>
        <w:rPr>
          <w:sz w:val="21"/>
        </w:rPr>
        <w:t>零售交易信息</w:t>
      </w:r>
    </w:p>
    <w:p>
      <w:pPr>
        <w:pStyle w:val="null3"/>
        <w:ind w:firstLine="420"/>
      </w:pPr>
      <w:r>
        <w:rPr>
          <w:sz w:val="21"/>
        </w:rPr>
        <w:t>附件二</w:t>
      </w:r>
      <w:r>
        <w:rPr>
          <w:sz w:val="21"/>
        </w:rPr>
        <w:t xml:space="preserve">     </w:t>
      </w:r>
      <w:r>
        <w:rPr>
          <w:sz w:val="21"/>
        </w:rPr>
        <w:t>电能量零售交易套餐模式说明</w:t>
      </w:r>
    </w:p>
    <w:p>
      <w:pPr>
        <w:pStyle w:val="null3"/>
        <w:ind w:firstLine="420"/>
      </w:pPr>
      <w:r>
        <w:rPr>
          <w:sz w:val="21"/>
        </w:rPr>
        <w:t>附件三</w:t>
      </w:r>
      <w:r>
        <w:rPr>
          <w:sz w:val="21"/>
        </w:rPr>
        <w:t xml:space="preserve">     </w:t>
      </w:r>
      <w:r>
        <w:rPr>
          <w:sz w:val="21"/>
        </w:rPr>
        <w:t>名词解释</w:t>
      </w:r>
    </w:p>
    <w:p>
      <w:pPr>
        <w:pStyle w:val="null3"/>
        <w:ind w:firstLine="420"/>
      </w:pPr>
      <w:r>
        <w:rPr>
          <w:sz w:val="21"/>
        </w:rPr>
        <w:t>附件四</w:t>
      </w:r>
      <w:r>
        <w:rPr>
          <w:sz w:val="21"/>
        </w:rPr>
        <w:t xml:space="preserve">     </w:t>
      </w:r>
      <w:r>
        <w:rPr>
          <w:sz w:val="21"/>
        </w:rPr>
        <w:t>廉洁声明（可选）</w:t>
      </w:r>
    </w:p>
    <w:p>
      <w:pPr>
        <w:pStyle w:val="null3"/>
        <w:jc w:val="both"/>
      </w:pPr>
      <w:r>
        <w:rPr/>
        <w:t xml:space="preserve"> </w:t>
      </w:r>
    </w:p>
    <w:p>
      <w:pPr>
        <w:pStyle w:val="null3"/>
      </w:pPr>
      <w:r>
        <w:rPr>
          <w:sz w:val="21"/>
        </w:rPr>
        <w:t>甲、乙双方任何一方在此向对方陈述如下：本方为一家依法设立并合法存续的企业（单位）</w:t>
      </w:r>
      <w:r>
        <w:rPr>
          <w:sz w:val="21"/>
        </w:rPr>
        <w:t>/个体工商户，且具有法人资格/经法人单位授权/经营主体资格，有权签署并有能力履行本合同。</w:t>
      </w:r>
    </w:p>
    <w:p>
      <w:pPr>
        <w:pStyle w:val="null3"/>
        <w:ind w:firstLine="420"/>
        <w:jc w:val="both"/>
      </w:pPr>
      <w:r>
        <w:rPr>
          <w:sz w:val="21"/>
        </w:rPr>
        <w:t>现甲乙双方本着平等、自愿、诚信的原则，就电能量零售交易达成以下协议：</w:t>
      </w:r>
    </w:p>
    <w:p>
      <w:pPr>
        <w:pStyle w:val="null3"/>
        <w:jc w:val="center"/>
      </w:pPr>
      <w:r>
        <w:rPr>
          <w:sz w:val="28"/>
          <w:b/>
        </w:rPr>
        <w:t>第一章</w:t>
      </w:r>
      <w:r>
        <w:rPr>
          <w:sz w:val="28"/>
          <w:b/>
        </w:rPr>
        <w:t>风险提示</w:t>
      </w:r>
    </w:p>
    <w:p>
      <w:pPr>
        <w:pStyle w:val="null3"/>
        <w:ind w:firstLine="420"/>
        <w:jc w:val="both"/>
      </w:pPr>
      <w:r>
        <w:rPr>
          <w:sz w:val="21"/>
        </w:rPr>
        <w:t>1.1 售电公司与电力用户在参与电能量零售交易过程中，因市场价格行情及自身交易行为等原因，售电公司可能产生利润或亏损，电力用户用电成本亦可能相较于自身不同用电时期或其他电力用户出现增加或减少，交易主体应在充分理解并自愿承担包括但不限于下列风险的前提下参与市场交易：</w:t>
      </w:r>
    </w:p>
    <w:p>
      <w:pPr>
        <w:pStyle w:val="null3"/>
        <w:ind w:firstLine="420"/>
        <w:jc w:val="both"/>
      </w:pPr>
      <w:r>
        <w:rPr>
          <w:sz w:val="21"/>
        </w:rPr>
        <w:t>1.1.1 一次能源价格风险： 因国内外宏观经济周期和一次能源价格的变化，可能会引起国内一次能源价格波动。</w:t>
      </w:r>
    </w:p>
    <w:p>
      <w:pPr>
        <w:pStyle w:val="null3"/>
        <w:ind w:firstLine="420"/>
        <w:jc w:val="both"/>
      </w:pPr>
      <w:r>
        <w:rPr>
          <w:sz w:val="21"/>
        </w:rPr>
        <w:t>1.1.2 市场政策风险：有关电力市场的法律、法规及相关政策、规则发生变化，例如常态化开市的情况下，在合同标的年份正式边界信息及参数限值未正式发布前或未确认的情况下提前签订零售交易合同，后续因政策、规则变动可能引起电力市场价格波动，导致合同无法履行或价格显著偏离预期。</w:t>
      </w:r>
    </w:p>
    <w:p>
      <w:pPr>
        <w:pStyle w:val="null3"/>
        <w:ind w:firstLine="420"/>
        <w:jc w:val="both"/>
      </w:pPr>
      <w:r>
        <w:rPr>
          <w:sz w:val="21"/>
        </w:rPr>
        <w:t>1.1.3 售电公司经营风险：由于售电公司自身经营管理、交易策略等方面的因素，如经营决策重大失误，信誉评级不佳、存在不良行为被处置等，导致售电公司退市或暂停交易资格等情况。电力用户可能因此被纳入保底售电，进而承受价格差异及偏差考核费用。</w:t>
      </w:r>
    </w:p>
    <w:p>
      <w:pPr>
        <w:pStyle w:val="null3"/>
        <w:ind w:firstLine="420"/>
        <w:jc w:val="both"/>
      </w:pPr>
      <w:r>
        <w:rPr>
          <w:sz w:val="21"/>
        </w:rPr>
        <w:t>1.1.4 系统技术风险：由于零售交易合同通过电子设备和信息网络签订，该设备技术存在着被计算机病毒或不法分子攻击的可能，同时通讯技术、电子设备和相关信息系统存在着缺陷的可能，造成套餐模式、参数限值、电子签章不符合政策法规要求等系统技术原因，导致合同可能被认定为无效、可撤销或未成立的情形，同时市场条件已发生不利变化，交易主体可能无法就同一标的再无其他受法律保护的协议且受价格行情变化导致双方无法再次签约。</w:t>
      </w:r>
    </w:p>
    <w:p>
      <w:pPr>
        <w:pStyle w:val="null3"/>
        <w:ind w:firstLine="420"/>
        <w:jc w:val="both"/>
      </w:pPr>
      <w:r>
        <w:rPr>
          <w:sz w:val="21"/>
        </w:rPr>
        <w:t>1.1.5 不可抗力因素导致的风险：诸如地震、台风、火灾、洪水等不可抗力因素，或系统故障、设备故障、通讯故障、电力故障等交易中心无法控制和不可预测的情况，可能导致电力交易系统及相关平台无法正常运行甚至瘫痪，上述情况可能使零售交易（含新签、变更、解除）无法进行，导致交易标的时间缩短或延长。</w:t>
      </w:r>
    </w:p>
    <w:p>
      <w:pPr>
        <w:pStyle w:val="null3"/>
        <w:ind w:firstLine="420"/>
        <w:jc w:val="both"/>
      </w:pPr>
      <w:r>
        <w:rPr>
          <w:sz w:val="21"/>
        </w:rPr>
        <w:t>1.1.6 其他风险：由于经营主体账号密码失密、操作授权不当、交易策略不当、政策行情了解不充分等因素，委托他人代理交易并签订零售合同，致使经营主体因自身不当/过失行为已促成零售合同线上签订或与其他方式的协议条款不相符的零售交易合同成立。</w:t>
      </w:r>
    </w:p>
    <w:p>
      <w:pPr>
        <w:pStyle w:val="null3"/>
        <w:ind w:firstLine="420"/>
        <w:jc w:val="both"/>
      </w:pPr>
      <w:r>
        <w:rPr>
          <w:sz w:val="21"/>
        </w:rPr>
        <w:t>特别提示：交易中心敬告市场经营主体，应当根据自身的用电特性、风险承受能力，以及市场价格行情，认真评估制定电力市场交易策略，诚实守信、合法合规开展电力市场交易，并自行承担全部交易结果及相关风险。</w:t>
      </w:r>
    </w:p>
    <w:p>
      <w:pPr>
        <w:pStyle w:val="null3"/>
        <w:ind w:firstLine="420"/>
        <w:jc w:val="both"/>
      </w:pPr>
      <w:r>
        <w:rPr>
          <w:sz w:val="21"/>
        </w:rPr>
        <w:t>1.2 本合同双方均应遵循公平、诚信原则，在签订本合同前，签约方应当全面客观了解电力市场相关法律法规、业务规则、零售套餐或售电服务的特征，充分知晓交易风险，清楚合同条款含义、电能量价格构成及市场价格波动风险等、清楚交易中心仅以交易双方在电力交易系统线上签订的电子合同为结算依据、清楚电子合同签订流程及关键验证信息，做好线上电子合同核实确认后加盖电子印章。</w:t>
      </w:r>
    </w:p>
    <w:p>
      <w:pPr>
        <w:pStyle w:val="null3"/>
        <w:ind w:firstLine="420"/>
        <w:jc w:val="both"/>
      </w:pPr>
      <w:r>
        <w:rPr>
          <w:sz w:val="21"/>
        </w:rPr>
        <w:t>1.3 本合同按广东电力零售市场统一范本商定，采用电子合同形式进行线上签订，一经线上签订即对合同双方具有法律约束力。请各经营主体谨慎妥善使用签约过程中须用到的验证码（通过对公账户打款方式发送）、人脸识别等信息，切勿泄露、配合、提供给合同相对方或其他方使用。</w:t>
      </w:r>
    </w:p>
    <w:p>
      <w:pPr>
        <w:pStyle w:val="null3"/>
        <w:ind w:firstLine="420"/>
        <w:jc w:val="both"/>
      </w:pPr>
      <w:r>
        <w:rPr>
          <w:sz w:val="21"/>
        </w:rPr>
        <w:t>1.4 交易中心依据本电子合同约定进行结算。若双方另行签订的其他合同与本合同不一致导致的双方损失或争议，由双方通过协商或司法途径处理解决。</w:t>
      </w:r>
    </w:p>
    <w:p>
      <w:pPr>
        <w:pStyle w:val="null3"/>
        <w:ind w:firstLine="420"/>
        <w:jc w:val="both"/>
      </w:pPr>
      <w:r>
        <w:rPr>
          <w:sz w:val="21"/>
        </w:rPr>
        <w:t>1.5 本合同中约定的电能量电费，非用户最终到户电费，用户在签订合同前请综合评估叠加各部分电费后的用电成本。</w:t>
      </w:r>
    </w:p>
    <w:p>
      <w:pPr>
        <w:pStyle w:val="null3"/>
        <w:ind w:firstLine="420"/>
        <w:jc w:val="both"/>
      </w:pPr>
      <w:r>
        <w:rPr>
          <w:sz w:val="21"/>
        </w:rPr>
        <w:t>1.6 电力用户应合理选择零售套餐模式，“固定价格+市场联动+煤电联动（ 可选）”的竞价配置模式套餐中，“市场联动”价格已包含批发市场用户侧度电分摊返还单价，协商确定零售合同价格及参数时应注意避免重复计费，“煤电联动”电费是随一次能源价格变化而在固定价格模式电费基础上联动调整的费用，选取时需综合考虑一次能源价格风险。</w:t>
      </w:r>
    </w:p>
    <w:p>
      <w:pPr>
        <w:pStyle w:val="null3"/>
        <w:ind w:firstLine="420"/>
        <w:jc w:val="both"/>
      </w:pPr>
      <w:r>
        <w:rPr>
          <w:sz w:val="21"/>
        </w:rPr>
        <w:t>1.7 如电力用户在签订本电能量零售交易合同前属于电网代购用户，在签订本电能量零售交易合同后即成为市场化用户，无正当理由申请退回电网代购用户需执行 1.5 倍电网代购价格等相关市场政策。</w:t>
      </w:r>
    </w:p>
    <w:p>
      <w:pPr>
        <w:pStyle w:val="null3"/>
        <w:ind w:firstLine="420"/>
        <w:jc w:val="both"/>
      </w:pPr>
      <w:r>
        <w:rPr>
          <w:sz w:val="21"/>
        </w:rPr>
        <w:t>1.8 本合同签订价格均为含税价格。</w:t>
      </w:r>
    </w:p>
    <w:p>
      <w:pPr>
        <w:pStyle w:val="null3"/>
        <w:ind w:firstLine="422"/>
        <w:jc w:val="both"/>
      </w:pPr>
      <w:r>
        <w:rPr>
          <w:sz w:val="21"/>
          <w:b/>
          <w:u w:val="single"/>
        </w:rPr>
        <w:t>1.9 对于上述风险提示，合同双方均已认真阅读、完全理解并同意，合同签署即视为知悉并同意上述风险提示的全部内容。</w:t>
      </w:r>
    </w:p>
    <w:p>
      <w:pPr>
        <w:pStyle w:val="null3"/>
        <w:jc w:val="center"/>
      </w:pPr>
      <w:r>
        <w:rPr>
          <w:sz w:val="28"/>
          <w:b/>
        </w:rPr>
        <w:t>第二章</w:t>
      </w:r>
      <w:r>
        <w:rPr>
          <w:sz w:val="28"/>
          <w:b/>
        </w:rPr>
        <w:t>双方签署信息</w:t>
      </w:r>
    </w:p>
    <w:p>
      <w:pPr>
        <w:pStyle w:val="null3"/>
        <w:ind w:firstLine="420"/>
        <w:jc w:val="both"/>
      </w:pPr>
      <w:r>
        <w:rPr>
          <w:sz w:val="21"/>
        </w:rPr>
        <w:t>本合同由下列双方签署：</w:t>
      </w:r>
    </w:p>
    <w:p>
      <w:pPr>
        <w:pStyle w:val="null3"/>
        <w:ind w:firstLine="420"/>
        <w:jc w:val="both"/>
      </w:pPr>
      <w:r>
        <w:rPr>
          <w:sz w:val="21"/>
        </w:rPr>
        <w:t>2.1 购电方（ 电力用户， 以下简称甲方）：</w:t>
      </w:r>
      <w:r>
        <w:rPr>
          <w:sz w:val="21"/>
          <w:u w:val="single"/>
        </w:rPr>
        <w:t xml:space="preserve">                      </w:t>
      </w:r>
    </w:p>
    <w:p>
      <w:pPr>
        <w:pStyle w:val="null3"/>
        <w:ind w:firstLine="420"/>
        <w:jc w:val="both"/>
      </w:pPr>
      <w:r>
        <w:rPr>
          <w:sz w:val="21"/>
        </w:rPr>
        <w:t>企业（单位）</w:t>
      </w:r>
      <w:r>
        <w:rPr>
          <w:sz w:val="21"/>
        </w:rPr>
        <w:t>/个体工商户名称：</w:t>
      </w:r>
      <w:r>
        <w:rPr>
          <w:u w:val="single"/>
        </w:rPr>
        <w:t xml:space="preserve">                      </w:t>
      </w:r>
      <w:r>
        <w:rPr/>
        <w:t xml:space="preserve">                      </w:t>
      </w:r>
    </w:p>
    <w:p>
      <w:pPr>
        <w:pStyle w:val="null3"/>
        <w:ind w:firstLine="420"/>
        <w:jc w:val="both"/>
      </w:pPr>
      <w:r>
        <w:rPr>
          <w:sz w:val="21"/>
        </w:rPr>
        <w:t>电力用户编码：</w:t>
      </w:r>
      <w:r>
        <w:rPr>
          <w:u w:val="single"/>
        </w:rPr>
        <w:t xml:space="preserve">                      </w:t>
      </w:r>
      <w:r>
        <w:rPr/>
        <w:t xml:space="preserve">                     </w:t>
      </w:r>
    </w:p>
    <w:p>
      <w:pPr>
        <w:pStyle w:val="null3"/>
        <w:ind w:firstLine="420"/>
        <w:jc w:val="both"/>
      </w:pPr>
      <w:r>
        <w:rPr>
          <w:sz w:val="21"/>
        </w:rPr>
        <w:t>所在地址：</w:t>
      </w:r>
      <w:r>
        <w:rPr>
          <w:u w:val="single"/>
        </w:rPr>
        <w:t xml:space="preserve">                      </w:t>
      </w:r>
      <w:r>
        <w:rPr/>
        <w:t xml:space="preserve">                         </w:t>
      </w:r>
    </w:p>
    <w:p>
      <w:pPr>
        <w:pStyle w:val="null3"/>
        <w:ind w:firstLine="420"/>
        <w:jc w:val="both"/>
      </w:pPr>
      <w:r>
        <w:rPr>
          <w:sz w:val="21"/>
        </w:rPr>
        <w:t>统一信用代码</w:t>
      </w:r>
      <w:r>
        <w:rPr>
          <w:sz w:val="21"/>
        </w:rPr>
        <w:t>:</w:t>
      </w:r>
      <w:r>
        <w:rPr>
          <w:u w:val="single"/>
        </w:rPr>
        <w:t xml:space="preserve">                      </w:t>
      </w:r>
      <w:r>
        <w:rPr/>
        <w:t xml:space="preserve">                      </w:t>
      </w:r>
    </w:p>
    <w:p>
      <w:pPr>
        <w:pStyle w:val="null3"/>
        <w:ind w:firstLine="420"/>
        <w:jc w:val="both"/>
      </w:pPr>
      <w:r>
        <w:rPr>
          <w:sz w:val="21"/>
        </w:rPr>
        <w:t>法定代表人</w:t>
      </w:r>
      <w:r>
        <w:rPr>
          <w:sz w:val="21"/>
        </w:rPr>
        <w:t>/经营者：</w:t>
      </w:r>
      <w:r>
        <w:rPr>
          <w:u w:val="single"/>
        </w:rPr>
        <w:t xml:space="preserve">                      </w:t>
      </w:r>
      <w:r>
        <w:rPr/>
        <w:t xml:space="preserve">                </w:t>
      </w:r>
    </w:p>
    <w:p>
      <w:pPr>
        <w:pStyle w:val="null3"/>
        <w:ind w:firstLine="420"/>
        <w:jc w:val="both"/>
      </w:pPr>
      <w:r>
        <w:rPr>
          <w:sz w:val="21"/>
        </w:rPr>
        <w:t>法定代表人</w:t>
      </w:r>
      <w:r>
        <w:rPr>
          <w:sz w:val="21"/>
        </w:rPr>
        <w:t>/经营者有效证件号码：</w:t>
      </w:r>
      <w:r>
        <w:rPr>
          <w:u w:val="single"/>
        </w:rPr>
        <w:t xml:space="preserve">                      </w:t>
      </w:r>
      <w:r>
        <w:rPr/>
        <w:t xml:space="preserve">                     </w:t>
      </w:r>
    </w:p>
    <w:p>
      <w:pPr>
        <w:pStyle w:val="null3"/>
        <w:ind w:firstLine="420"/>
        <w:jc w:val="both"/>
      </w:pPr>
      <w:r>
        <w:rPr>
          <w:sz w:val="21"/>
        </w:rPr>
        <w:t>甲方联系人：</w:t>
      </w:r>
      <w:r>
        <w:rPr>
          <w:u w:val="single"/>
        </w:rPr>
        <w:t xml:space="preserve">                      </w:t>
      </w:r>
      <w:r>
        <w:rPr/>
        <w:t xml:space="preserve">                             </w:t>
      </w:r>
    </w:p>
    <w:p>
      <w:pPr>
        <w:pStyle w:val="null3"/>
        <w:ind w:firstLine="420"/>
        <w:jc w:val="both"/>
      </w:pPr>
      <w:r>
        <w:rPr>
          <w:sz w:val="21"/>
        </w:rPr>
        <w:t>联系电话：</w:t>
      </w:r>
      <w:r>
        <w:rPr>
          <w:u w:val="single"/>
        </w:rPr>
        <w:t xml:space="preserve">                      </w:t>
      </w:r>
      <w:r>
        <w:rPr/>
        <w:t xml:space="preserve">                              </w:t>
      </w:r>
    </w:p>
    <w:p>
      <w:pPr>
        <w:pStyle w:val="null3"/>
        <w:ind w:firstLine="420"/>
        <w:jc w:val="both"/>
      </w:pPr>
      <w:r>
        <w:rPr>
          <w:sz w:val="21"/>
        </w:rPr>
        <w:t>2.2 售电方（售电公司， 以下简称乙方）：</w:t>
      </w:r>
      <w:r>
        <w:rPr>
          <w:u w:val="single"/>
        </w:rPr>
        <w:t xml:space="preserve">                      </w:t>
      </w:r>
    </w:p>
    <w:p>
      <w:pPr>
        <w:pStyle w:val="null3"/>
        <w:ind w:firstLine="420"/>
        <w:jc w:val="both"/>
      </w:pPr>
      <w:r>
        <w:rPr>
          <w:sz w:val="21"/>
        </w:rPr>
        <w:t>企业名称：</w:t>
      </w:r>
      <w:r>
        <w:rPr>
          <w:u w:val="single"/>
        </w:rPr>
        <w:t xml:space="preserve">                      </w:t>
      </w:r>
      <w:r>
        <w:rPr/>
        <w:t xml:space="preserve">                        </w:t>
      </w:r>
    </w:p>
    <w:p>
      <w:pPr>
        <w:pStyle w:val="null3"/>
        <w:ind w:firstLine="420"/>
        <w:jc w:val="both"/>
      </w:pPr>
      <w:r>
        <w:rPr>
          <w:sz w:val="21"/>
        </w:rPr>
        <w:t>售电公司编码：</w:t>
      </w:r>
      <w:r>
        <w:rPr>
          <w:u w:val="single"/>
        </w:rPr>
        <w:t xml:space="preserve">                      </w:t>
      </w:r>
      <w:r>
        <w:rPr/>
        <w:t xml:space="preserve">                     </w:t>
      </w:r>
    </w:p>
    <w:p>
      <w:pPr>
        <w:pStyle w:val="null3"/>
        <w:ind w:firstLine="420"/>
        <w:jc w:val="both"/>
      </w:pPr>
      <w:r>
        <w:rPr>
          <w:sz w:val="21"/>
        </w:rPr>
        <w:t>企业所在地址：</w:t>
      </w:r>
      <w:r>
        <w:rPr>
          <w:u w:val="single"/>
        </w:rPr>
        <w:t xml:space="preserve">                      </w:t>
      </w:r>
      <w:r>
        <w:rPr/>
        <w:t xml:space="preserve">                     </w:t>
      </w:r>
    </w:p>
    <w:p>
      <w:pPr>
        <w:pStyle w:val="null3"/>
        <w:ind w:firstLine="420"/>
        <w:jc w:val="both"/>
      </w:pPr>
      <w:r>
        <w:rPr>
          <w:sz w:val="21"/>
        </w:rPr>
        <w:t>统一信用代码：</w:t>
      </w:r>
      <w:r>
        <w:rPr>
          <w:u w:val="single"/>
        </w:rPr>
        <w:t xml:space="preserve">                      </w:t>
      </w:r>
      <w:r>
        <w:rPr/>
        <w:t xml:space="preserve">                     </w:t>
      </w:r>
    </w:p>
    <w:p>
      <w:pPr>
        <w:pStyle w:val="null3"/>
        <w:ind w:firstLine="420"/>
        <w:jc w:val="both"/>
      </w:pPr>
      <w:r>
        <w:rPr>
          <w:sz w:val="21"/>
        </w:rPr>
        <w:t>法定代表人：</w:t>
      </w:r>
      <w:r>
        <w:rPr>
          <w:u w:val="single"/>
        </w:rPr>
        <w:t xml:space="preserve">                      </w:t>
      </w:r>
      <w:r>
        <w:rPr/>
        <w:t xml:space="preserve">                       </w:t>
      </w:r>
    </w:p>
    <w:p>
      <w:pPr>
        <w:pStyle w:val="null3"/>
        <w:ind w:firstLine="420"/>
        <w:jc w:val="both"/>
      </w:pPr>
      <w:r>
        <w:rPr>
          <w:sz w:val="21"/>
        </w:rPr>
        <w:t>法定代表人有效证件号码：</w:t>
      </w:r>
      <w:r>
        <w:rPr>
          <w:u w:val="single"/>
        </w:rPr>
        <w:t xml:space="preserve">                      </w:t>
      </w:r>
      <w:r>
        <w:rPr/>
        <w:t xml:space="preserve">                </w:t>
      </w:r>
    </w:p>
    <w:p>
      <w:pPr>
        <w:pStyle w:val="null3"/>
        <w:ind w:firstLine="420"/>
        <w:jc w:val="both"/>
      </w:pPr>
      <w:r>
        <w:rPr>
          <w:sz w:val="21"/>
        </w:rPr>
        <w:t>乙方联系人：</w:t>
      </w:r>
      <w:r>
        <w:rPr>
          <w:u w:val="single"/>
        </w:rPr>
        <w:t xml:space="preserve">                      </w:t>
      </w:r>
      <w:r>
        <w:rPr/>
        <w:t xml:space="preserve">                     </w:t>
      </w:r>
    </w:p>
    <w:p>
      <w:pPr>
        <w:pStyle w:val="null3"/>
        <w:ind w:firstLine="420"/>
        <w:jc w:val="both"/>
      </w:pPr>
      <w:r>
        <w:rPr>
          <w:sz w:val="21"/>
        </w:rPr>
        <w:t>联系电话：</w:t>
      </w:r>
      <w:r>
        <w:rPr>
          <w:u w:val="single"/>
        </w:rPr>
        <w:t xml:space="preserve">                      </w:t>
      </w:r>
      <w:r>
        <w:rPr/>
        <w:t xml:space="preserve">                       </w:t>
      </w:r>
    </w:p>
    <w:p>
      <w:pPr>
        <w:pStyle w:val="null3"/>
        <w:ind w:firstLine="420"/>
        <w:jc w:val="both"/>
      </w:pPr>
      <w:r>
        <w:rPr>
          <w:sz w:val="21"/>
        </w:rPr>
        <w:t>2.3 合同有效期：</w:t>
      </w:r>
      <w:r>
        <w:rPr>
          <w:u w:val="single"/>
        </w:rPr>
        <w:t xml:space="preserve">      </w:t>
      </w:r>
      <w:r>
        <w:rPr>
          <w:sz w:val="21"/>
        </w:rPr>
        <w:t>年</w:t>
      </w:r>
      <w:r>
        <w:rPr>
          <w:u w:val="single"/>
        </w:rPr>
        <w:t xml:space="preserve">      </w:t>
      </w:r>
      <w:r>
        <w:rPr>
          <w:sz w:val="21"/>
        </w:rPr>
        <w:t>月</w:t>
      </w:r>
      <w:r>
        <w:rPr>
          <w:u w:val="single"/>
        </w:rPr>
        <w:t xml:space="preserve">      </w:t>
      </w:r>
      <w:r>
        <w:rPr>
          <w:sz w:val="21"/>
        </w:rPr>
        <w:t>日至</w:t>
      </w:r>
      <w:r>
        <w:rPr>
          <w:u w:val="single"/>
        </w:rPr>
        <w:t xml:space="preserve">     </w:t>
      </w:r>
      <w:r>
        <w:rPr>
          <w:sz w:val="21"/>
        </w:rPr>
        <w:t>年</w:t>
      </w:r>
      <w:r>
        <w:rPr>
          <w:u w:val="single"/>
        </w:rPr>
        <w:t xml:space="preserve">      </w:t>
      </w:r>
      <w:r>
        <w:rPr>
          <w:sz w:val="21"/>
        </w:rPr>
        <w:t>月</w:t>
      </w:r>
      <w:r>
        <w:rPr>
          <w:u w:val="single"/>
        </w:rPr>
        <w:t xml:space="preserve">      </w:t>
      </w:r>
      <w:r>
        <w:rPr>
          <w:sz w:val="21"/>
        </w:rPr>
        <w:t>日</w:t>
      </w:r>
      <w:r>
        <w:rPr>
          <w:sz w:val="21"/>
          <w:b/>
        </w:rPr>
        <w:t>。</w:t>
      </w:r>
    </w:p>
    <w:p>
      <w:pPr>
        <w:pStyle w:val="null3"/>
        <w:jc w:val="center"/>
      </w:pPr>
      <w:r>
        <w:rPr>
          <w:sz w:val="28"/>
          <w:b/>
        </w:rPr>
        <w:t>第三章</w:t>
      </w:r>
      <w:r>
        <w:rPr>
          <w:sz w:val="28"/>
          <w:b/>
        </w:rPr>
        <w:t xml:space="preserve">  </w:t>
      </w:r>
      <w:r>
        <w:rPr>
          <w:sz w:val="28"/>
          <w:b/>
        </w:rPr>
        <w:t>双方的权利和义务</w:t>
      </w:r>
    </w:p>
    <w:p>
      <w:pPr>
        <w:pStyle w:val="null3"/>
        <w:ind w:firstLine="420"/>
        <w:jc w:val="both"/>
      </w:pPr>
      <w:r>
        <w:rPr>
          <w:sz w:val="21"/>
        </w:rPr>
        <w:t>3.1 甲方的权利包括：</w:t>
      </w:r>
    </w:p>
    <w:p>
      <w:pPr>
        <w:pStyle w:val="null3"/>
        <w:ind w:firstLine="420"/>
        <w:jc w:val="both"/>
      </w:pPr>
      <w:r>
        <w:rPr>
          <w:sz w:val="21"/>
        </w:rPr>
        <w:t>3.1.1 根据与供电企业签订的《供用电合同》（及其补充协议，下同），按照国家法律、法规、部门规章等获取供电企业提供的有关接入和用电服务。</w:t>
      </w:r>
    </w:p>
    <w:p>
      <w:pPr>
        <w:pStyle w:val="null3"/>
        <w:ind w:firstLine="420"/>
        <w:jc w:val="both"/>
      </w:pPr>
      <w:r>
        <w:rPr>
          <w:sz w:val="21"/>
        </w:rPr>
        <w:t>3.1.2 获得乙方履行本合同义务相关的信息、资料及查阅电能量计量数据。</w:t>
      </w:r>
    </w:p>
    <w:p>
      <w:pPr>
        <w:pStyle w:val="null3"/>
        <w:ind w:firstLine="420"/>
        <w:jc w:val="both"/>
      </w:pPr>
      <w:r>
        <w:rPr>
          <w:sz w:val="21"/>
        </w:rPr>
        <w:t>3.2  甲方的义务包括：</w:t>
      </w:r>
    </w:p>
    <w:p>
      <w:pPr>
        <w:pStyle w:val="null3"/>
        <w:ind w:firstLine="420"/>
        <w:jc w:val="both"/>
      </w:pPr>
      <w:r>
        <w:rPr>
          <w:sz w:val="21"/>
        </w:rPr>
        <w:t>3.2.1 向乙方如实、完整提供电力交易容量、电量、负荷曲线及其他生产运行等用电信息，包括用电计量点的增减及变更、办理增减容和更名过户等用电业务信息，向乙方提供与履行本合同相关的其他信息。在合同履行期间，除不可抗力和政策要求外，不得通过任何形式退出市场，造成乙方经济损失。</w:t>
      </w:r>
    </w:p>
    <w:p>
      <w:pPr>
        <w:pStyle w:val="null3"/>
        <w:ind w:firstLine="420"/>
        <w:jc w:val="both"/>
      </w:pPr>
      <w:r>
        <w:rPr>
          <w:sz w:val="21"/>
        </w:rPr>
        <w:t>3.2.2 按相关规定与供电企业签署《供用电合同》，按时缴纳电费，包括：电能量电费、输配电费、政府基金附加费等相关费用。</w:t>
      </w:r>
    </w:p>
    <w:p>
      <w:pPr>
        <w:pStyle w:val="null3"/>
        <w:ind w:firstLine="420"/>
        <w:jc w:val="both"/>
      </w:pPr>
      <w:r>
        <w:rPr>
          <w:sz w:val="21"/>
        </w:rPr>
        <w:t>3.2.3 做好合同信息保密，未经对方书面同意，不得将与本合同相关信息透露至第三方，政府监管部门、市场交易机构等具备查阅资格的单位除外。</w:t>
      </w:r>
    </w:p>
    <w:p>
      <w:pPr>
        <w:pStyle w:val="null3"/>
        <w:ind w:firstLine="420"/>
        <w:jc w:val="both"/>
      </w:pPr>
      <w:r>
        <w:rPr>
          <w:sz w:val="21"/>
        </w:rPr>
        <w:t>3.2.4 如因工业园区 “转供电”改为 “直供电”政策引起甲方的市场注册状态发生变化，甲方应及时向乙方告知相关信息，并按相关政策配合做好零售合同衔接工作。</w:t>
      </w:r>
    </w:p>
    <w:p>
      <w:pPr>
        <w:pStyle w:val="null3"/>
        <w:ind w:firstLine="420"/>
        <w:jc w:val="both"/>
      </w:pPr>
      <w:r>
        <w:rPr>
          <w:sz w:val="21"/>
        </w:rPr>
        <w:t>3.3  乙方的权利包括：</w:t>
      </w:r>
    </w:p>
    <w:p>
      <w:pPr>
        <w:pStyle w:val="null3"/>
        <w:ind w:firstLine="420"/>
        <w:jc w:val="both"/>
      </w:pPr>
      <w:r>
        <w:rPr>
          <w:sz w:val="21"/>
        </w:rPr>
        <w:t>获得甲方履行本合同义务相关的信息、资料及查阅计量电量数据。</w:t>
      </w:r>
    </w:p>
    <w:p>
      <w:pPr>
        <w:pStyle w:val="null3"/>
        <w:ind w:firstLine="420"/>
        <w:jc w:val="both"/>
      </w:pPr>
      <w:r>
        <w:rPr>
          <w:sz w:val="21"/>
        </w:rPr>
        <w:t>3.4  乙方的义务包括：</w:t>
      </w:r>
    </w:p>
    <w:p>
      <w:pPr>
        <w:pStyle w:val="null3"/>
        <w:ind w:firstLine="420"/>
        <w:jc w:val="both"/>
      </w:pPr>
      <w:r>
        <w:rPr>
          <w:sz w:val="21"/>
        </w:rPr>
        <w:t>3.4.1 按照国家有关法律、规定和技术规范，为甲方提供电力交易销售服务，做好需求侧管理，参与批发市场交易并按规定结算。</w:t>
      </w:r>
    </w:p>
    <w:p>
      <w:pPr>
        <w:pStyle w:val="null3"/>
        <w:ind w:firstLine="420"/>
        <w:jc w:val="both"/>
      </w:pPr>
      <w:r>
        <w:rPr>
          <w:sz w:val="21"/>
        </w:rPr>
        <w:t>3.4.2 应向甲方全面客观介绍电力市场相关法律法规、业务规则、零售套餐或售电服务的特征，充分揭示风险，按约定如实向甲方提供相关的资料、信息，禁止欺诈或误导甲方，包括不限于以下事项:</w:t>
      </w:r>
    </w:p>
    <w:p>
      <w:pPr>
        <w:pStyle w:val="null3"/>
        <w:ind w:firstLine="420"/>
        <w:jc w:val="both"/>
      </w:pPr>
      <w:r>
        <w:rPr>
          <w:sz w:val="21"/>
        </w:rPr>
        <w:t>3.4.2.1 向电力用户揭示市场风险，解释说明合同条款含义、电能量价格构成及市场价格波动风险等；</w:t>
      </w:r>
    </w:p>
    <w:p>
      <w:pPr>
        <w:pStyle w:val="null3"/>
        <w:ind w:firstLine="420"/>
        <w:jc w:val="both"/>
      </w:pPr>
      <w:r>
        <w:rPr>
          <w:sz w:val="21"/>
        </w:rPr>
        <w:t>3.4.2.2 向电力用户明确宣贯告知交易中心仅以交易双方在电力交易系统线上签订的电子合同为结算依据。</w:t>
      </w:r>
    </w:p>
    <w:p>
      <w:pPr>
        <w:pStyle w:val="null3"/>
        <w:ind w:firstLine="420"/>
        <w:jc w:val="both"/>
      </w:pPr>
      <w:r>
        <w:rPr>
          <w:sz w:val="21"/>
        </w:rPr>
        <w:t>3.4.2.3 向电力用户介绍说明电子合同签订流程及关键验证信息，提醒电力用户做好线上电子合同核实确认后加盖电子印章；</w:t>
      </w:r>
    </w:p>
    <w:p>
      <w:pPr>
        <w:pStyle w:val="null3"/>
        <w:ind w:firstLine="420"/>
        <w:jc w:val="both"/>
      </w:pPr>
      <w:r>
        <w:rPr>
          <w:sz w:val="21"/>
        </w:rPr>
        <w:t>3.4.2.4 如电力用户在签订零售交易合同前属于电网代购用户，应向电力用户说明，入市成为市场化用户后，无正当理由申请退回电网代购用户需执行 1.5 倍电网代购价格等相关市场政策。</w:t>
      </w:r>
    </w:p>
    <w:p>
      <w:pPr>
        <w:pStyle w:val="null3"/>
        <w:ind w:firstLine="420"/>
        <w:jc w:val="both"/>
      </w:pPr>
      <w:r>
        <w:rPr>
          <w:sz w:val="21"/>
        </w:rPr>
        <w:t>3.4.2.5 其他需要充分沟通说明的信息事项。</w:t>
      </w:r>
    </w:p>
    <w:p>
      <w:pPr>
        <w:pStyle w:val="null3"/>
        <w:ind w:firstLine="420"/>
        <w:jc w:val="both"/>
      </w:pPr>
      <w:r>
        <w:rPr>
          <w:sz w:val="21"/>
        </w:rPr>
        <w:t>3.4.3 做好自身工作人员及关联人员管理，严禁未获授权、伪造或违背甲方意愿擅自使用电力用户电子印章或验证信息签订零售交易合同。</w:t>
      </w:r>
    </w:p>
    <w:p>
      <w:pPr>
        <w:pStyle w:val="null3"/>
        <w:ind w:firstLine="420"/>
        <w:jc w:val="both"/>
      </w:pPr>
      <w:r>
        <w:rPr>
          <w:sz w:val="21"/>
        </w:rPr>
        <w:t>3.4.4 售电公司应履行合同审核义务，即对签订（包括不限于通过居间商签订）的零售合同的合法性、真实性、有效性进行严格审核，须与开展交易的电力用户对合同真实性、合同套餐及价格参数等关键性条款进行沟通确认。</w:t>
      </w:r>
    </w:p>
    <w:p>
      <w:pPr>
        <w:pStyle w:val="null3"/>
        <w:ind w:firstLine="420"/>
        <w:jc w:val="both"/>
      </w:pPr>
      <w:r>
        <w:rPr>
          <w:sz w:val="21"/>
        </w:rPr>
        <w:t>3.4.5 做好合同信息保密，未经对方书面同意，不得将与本合同相关信息透露至第三方，政府监管部门、市场交易机构等具备查阅资格的单位除外。</w:t>
      </w:r>
    </w:p>
    <w:p>
      <w:pPr>
        <w:pStyle w:val="null3"/>
        <w:ind w:firstLine="420"/>
        <w:jc w:val="both"/>
      </w:pPr>
      <w:r>
        <w:rPr>
          <w:sz w:val="21"/>
        </w:rPr>
        <w:t>3.4.6 如因工业园区 “转供电”改为 “直供电”政策引起甲方的市场注册状态发生变化，乙方应按相关政策协同甲方做好零售合同衔接工作</w:t>
      </w:r>
      <w:r>
        <w:rPr>
          <w:sz w:val="21"/>
        </w:rPr>
        <w:t>。</w:t>
      </w:r>
    </w:p>
    <w:p>
      <w:pPr>
        <w:pStyle w:val="null3"/>
        <w:jc w:val="center"/>
      </w:pPr>
      <w:r>
        <w:rPr>
          <w:sz w:val="28"/>
          <w:b/>
        </w:rPr>
        <w:t>第四章</w:t>
      </w:r>
      <w:r>
        <w:rPr>
          <w:sz w:val="28"/>
          <w:b/>
        </w:rPr>
        <w:t xml:space="preserve">  </w:t>
      </w:r>
      <w:r>
        <w:rPr>
          <w:sz w:val="28"/>
          <w:b/>
        </w:rPr>
        <w:t>电能量零售交易及结算</w:t>
      </w:r>
    </w:p>
    <w:p>
      <w:pPr>
        <w:pStyle w:val="null3"/>
        <w:ind w:firstLine="420"/>
        <w:jc w:val="both"/>
      </w:pPr>
      <w:r>
        <w:rPr>
          <w:sz w:val="21"/>
        </w:rPr>
        <w:t>4.1 甲乙双方对本合同约定的零售交易套餐详见本合同附件一零售交易信息。</w:t>
      </w:r>
    </w:p>
    <w:p>
      <w:pPr>
        <w:pStyle w:val="null3"/>
        <w:ind w:firstLine="420"/>
        <w:jc w:val="both"/>
      </w:pPr>
      <w:r>
        <w:rPr>
          <w:sz w:val="21"/>
        </w:rPr>
        <w:t>4.2 交易双方应知悉本合同标的物电能量价格可能受国内外宏观经济形势、一次能源价格等因素叠加影响，合同约定价格可能处于标的物价格行情相对高点或相对低点，须做好相关风险评估，基于自身生产经营计划、价格走势判断等情况，按照签约时点广东电力零售市场相关要求及参数限值签订后续时段的零售交易合同，合同一经签订，交易双方应严格按照本合同条款执行，但在平等自愿、自主协商的情况下，双方可对本合同进行变更或解除。</w:t>
      </w:r>
    </w:p>
    <w:p>
      <w:pPr>
        <w:pStyle w:val="null3"/>
        <w:ind w:firstLine="420"/>
        <w:jc w:val="both"/>
      </w:pPr>
      <w:r>
        <w:rPr>
          <w:sz w:val="21"/>
        </w:rPr>
        <w:t>4.3 本合同按照《广东电力现货市场结算实施细则》和《广东电力市场零售结算实施细则》以及现货运行有关要求进行结算。</w:t>
      </w:r>
    </w:p>
    <w:p>
      <w:pPr>
        <w:pStyle w:val="null3"/>
        <w:ind w:firstLine="420"/>
        <w:jc w:val="both"/>
      </w:pPr>
      <w:r>
        <w:rPr>
          <w:sz w:val="21"/>
        </w:rPr>
        <w:t>4.4 本合同约定价格为电能量价格，非用户最终到户电价。 电能量合同价格按照双方约定的零售结算模式计算得出，具体计算公式详见附件二。此外，甲方到户电费按照政策规定还包括：输配电费、上网环节线损费用折价电费、系统运行费、尖峰加价电费、变动成本补偿分摊电费、需求响应分摊电费、发电侧容量电价电费、峰谷平衡费用、政府性基金及附加等，各项分摊电费由电网公司和交易中心按照政策规定执行。</w:t>
      </w:r>
    </w:p>
    <w:p>
      <w:pPr>
        <w:pStyle w:val="null3"/>
        <w:ind w:firstLine="420"/>
        <w:jc w:val="both"/>
      </w:pPr>
      <w:r>
        <w:rPr>
          <w:sz w:val="21"/>
        </w:rPr>
        <w:t>4.5 实际结算电量以供电企业电力计量装置采集并推送至交易中心发布的实际用电量为准。</w:t>
      </w:r>
    </w:p>
    <w:p>
      <w:pPr>
        <w:pStyle w:val="null3"/>
        <w:jc w:val="center"/>
      </w:pPr>
      <w:r>
        <w:rPr>
          <w:sz w:val="28"/>
          <w:b/>
        </w:rPr>
        <w:t>第五章</w:t>
      </w:r>
      <w:r>
        <w:rPr>
          <w:sz w:val="28"/>
          <w:b/>
        </w:rPr>
        <w:t xml:space="preserve">  </w:t>
      </w:r>
      <w:r>
        <w:rPr>
          <w:sz w:val="28"/>
          <w:b/>
        </w:rPr>
        <w:t>合同违约和赔偿</w:t>
      </w:r>
    </w:p>
    <w:p>
      <w:pPr>
        <w:pStyle w:val="null3"/>
        <w:ind w:firstLine="420"/>
        <w:jc w:val="both"/>
      </w:pPr>
      <w:r>
        <w:rPr>
          <w:sz w:val="21"/>
        </w:rPr>
        <w:t>5.1 任何一方违反本合同约定条款视为违约，合同守约方有权要求违约方赔</w:t>
      </w:r>
      <w:r>
        <w:rPr>
          <w:sz w:val="21"/>
        </w:rPr>
        <w:t>偿违约造成的经济损失。</w:t>
      </w:r>
    </w:p>
    <w:p>
      <w:pPr>
        <w:pStyle w:val="null3"/>
        <w:ind w:firstLine="412"/>
        <w:jc w:val="both"/>
      </w:pPr>
      <w:r>
        <w:rPr>
          <w:sz w:val="21"/>
        </w:rPr>
        <w:t>5.2 违约的处理原则</w:t>
      </w:r>
    </w:p>
    <w:p>
      <w:pPr>
        <w:pStyle w:val="null3"/>
        <w:ind w:firstLine="408"/>
        <w:jc w:val="both"/>
      </w:pPr>
      <w:r>
        <w:rPr>
          <w:sz w:val="21"/>
        </w:rPr>
        <w:t>在本合同履行期限届满前，任何一方明确表示或以自己行</w:t>
      </w:r>
      <w:r>
        <w:rPr>
          <w:sz w:val="21"/>
        </w:rPr>
        <w:t>为表明不履行合同</w:t>
      </w:r>
      <w:r>
        <w:rPr>
          <w:sz w:val="21"/>
        </w:rPr>
        <w:t>义务的，另一方可在履行期限届满前解除合同并要求其承担相应的违约责任，因不可抗力导致除外。不可抗力情形包括不限于地震、台风、火灾、水灾等不可抗</w:t>
      </w:r>
      <w:r>
        <w:rPr>
          <w:sz w:val="21"/>
        </w:rPr>
        <w:t>力因素导致交易系统瘫痪，交易中心无法控制和不可预测的系统故障、设备故障、</w:t>
      </w:r>
      <w:r>
        <w:rPr>
          <w:sz w:val="21"/>
        </w:rPr>
        <w:t>通讯故障、电力故障等也可能导致电力交易系统及相关平台无法正常运行甚至瘫</w:t>
      </w:r>
      <w:r>
        <w:rPr>
          <w:sz w:val="21"/>
        </w:rPr>
        <w:t>痪等。</w:t>
      </w:r>
    </w:p>
    <w:p>
      <w:pPr>
        <w:pStyle w:val="null3"/>
        <w:ind w:firstLine="404"/>
        <w:jc w:val="both"/>
      </w:pPr>
      <w:r>
        <w:rPr>
          <w:sz w:val="21"/>
        </w:rPr>
        <w:t>5.3</w:t>
      </w:r>
      <w:r>
        <w:rPr>
          <w:sz w:val="21"/>
        </w:rPr>
        <w:t xml:space="preserve"> </w:t>
      </w:r>
      <w:r>
        <w:rPr>
          <w:sz w:val="21"/>
        </w:rPr>
        <w:t>违约赔偿</w:t>
      </w:r>
    </w:p>
    <w:p>
      <w:pPr>
        <w:pStyle w:val="null3"/>
        <w:ind w:firstLine="428"/>
        <w:jc w:val="both"/>
      </w:pPr>
      <w:r>
        <w:rPr>
          <w:sz w:val="21"/>
        </w:rPr>
        <w:t>如发生提交虚假信息、停产、变更、退市等行为，影响企业（单</w:t>
      </w:r>
      <w:r>
        <w:rPr>
          <w:sz w:val="21"/>
        </w:rPr>
        <w:t>位）</w:t>
      </w:r>
      <w:r>
        <w:rPr>
          <w:sz w:val="21"/>
        </w:rPr>
        <w:t>/个体</w:t>
      </w:r>
      <w:r>
        <w:rPr>
          <w:sz w:val="21"/>
        </w:rPr>
        <w:t>工商户履行合同义务的情形，违约方给守约方造成的一切直接及间接</w:t>
      </w:r>
      <w:r>
        <w:rPr>
          <w:sz w:val="21"/>
        </w:rPr>
        <w:t>损失，由违</w:t>
      </w:r>
      <w:r>
        <w:rPr>
          <w:sz w:val="21"/>
        </w:rPr>
        <w:t>约方承担违约赔偿责任。</w:t>
      </w:r>
    </w:p>
    <w:p>
      <w:pPr>
        <w:pStyle w:val="null3"/>
        <w:ind w:firstLine="416"/>
        <w:jc w:val="both"/>
      </w:pPr>
      <w:r>
        <w:rPr>
          <w:sz w:val="21"/>
        </w:rPr>
        <w:t>5.4 违约金计算方式及支付方式</w:t>
      </w:r>
    </w:p>
    <w:p>
      <w:pPr>
        <w:pStyle w:val="null3"/>
        <w:ind w:firstLine="408"/>
        <w:jc w:val="both"/>
      </w:pPr>
      <w:r>
        <w:rPr>
          <w:sz w:val="21"/>
        </w:rPr>
        <w:t>违约方应向守约方支付违约造成的经济损失，违约金的计</w:t>
      </w:r>
      <w:r>
        <w:rPr>
          <w:sz w:val="21"/>
        </w:rPr>
        <w:t>算标准按附件一零</w:t>
      </w:r>
      <w:r>
        <w:rPr>
          <w:sz w:val="21"/>
        </w:rPr>
        <w:t>售交易信息约定执行，该违约金由双方自行结算赔偿</w:t>
      </w:r>
      <w:r>
        <w:rPr>
          <w:sz w:val="21"/>
        </w:rPr>
        <w:t>。</w:t>
      </w:r>
    </w:p>
    <w:p>
      <w:pPr>
        <w:pStyle w:val="null3"/>
        <w:jc w:val="center"/>
      </w:pPr>
      <w:r>
        <w:rPr>
          <w:sz w:val="28"/>
          <w:b/>
        </w:rPr>
        <w:t>第六章</w:t>
      </w:r>
      <w:r>
        <w:rPr>
          <w:sz w:val="28"/>
          <w:b/>
        </w:rPr>
        <w:t>合同变更和解除</w:t>
      </w:r>
    </w:p>
    <w:p>
      <w:pPr>
        <w:pStyle w:val="null3"/>
        <w:ind w:firstLine="404"/>
        <w:jc w:val="both"/>
      </w:pPr>
      <w:r>
        <w:rPr>
          <w:sz w:val="21"/>
        </w:rPr>
        <w:t>6.1</w:t>
      </w:r>
      <w:r>
        <w:rPr>
          <w:sz w:val="21"/>
        </w:rPr>
        <w:t xml:space="preserve"> </w:t>
      </w:r>
      <w:r>
        <w:rPr>
          <w:sz w:val="21"/>
        </w:rPr>
        <w:t>合同变更</w:t>
      </w:r>
    </w:p>
    <w:p>
      <w:pPr>
        <w:pStyle w:val="null3"/>
        <w:ind w:firstLine="416"/>
        <w:jc w:val="both"/>
      </w:pPr>
      <w:r>
        <w:rPr>
          <w:sz w:val="21"/>
        </w:rPr>
        <w:t>6.1.1</w:t>
      </w:r>
      <w:r>
        <w:rPr>
          <w:sz w:val="21"/>
        </w:rPr>
        <w:t xml:space="preserve"> </w:t>
      </w:r>
      <w:r>
        <w:rPr>
          <w:sz w:val="21"/>
        </w:rPr>
        <w:t>经双方协商一致，可通过签订线上电子变更合同对本合同进行变更。</w:t>
      </w:r>
    </w:p>
    <w:p>
      <w:pPr>
        <w:pStyle w:val="null3"/>
        <w:ind w:firstLine="424"/>
        <w:jc w:val="both"/>
      </w:pPr>
      <w:r>
        <w:rPr>
          <w:sz w:val="21"/>
        </w:rPr>
        <w:t>6.1.2</w:t>
      </w:r>
      <w:r>
        <w:rPr>
          <w:sz w:val="21"/>
        </w:rPr>
        <w:t xml:space="preserve"> </w:t>
      </w:r>
      <w:r>
        <w:rPr>
          <w:sz w:val="21"/>
        </w:rPr>
        <w:t>因国家法律、法规发生变化或政府有关部门、监管机构出台最新政策</w:t>
      </w:r>
      <w:r>
        <w:rPr>
          <w:sz w:val="21"/>
        </w:rPr>
        <w:t>规定而导致本合同无法继续履行或有异议时，双方可按本合同</w:t>
      </w:r>
      <w:r>
        <w:rPr>
          <w:sz w:val="21"/>
        </w:rPr>
        <w:t xml:space="preserve"> </w:t>
      </w:r>
      <w:r>
        <w:rPr>
          <w:sz w:val="21"/>
        </w:rPr>
        <w:t>6.1.1 条协商一致</w:t>
      </w:r>
      <w:r>
        <w:rPr>
          <w:sz w:val="21"/>
        </w:rPr>
        <w:t>后进行合同变更。</w:t>
      </w:r>
    </w:p>
    <w:p>
      <w:pPr>
        <w:pStyle w:val="null3"/>
        <w:ind w:firstLine="404"/>
        <w:jc w:val="both"/>
      </w:pPr>
      <w:r>
        <w:rPr>
          <w:sz w:val="21"/>
        </w:rPr>
        <w:t>6.2</w:t>
      </w:r>
      <w:r>
        <w:rPr>
          <w:sz w:val="21"/>
        </w:rPr>
        <w:t xml:space="preserve"> </w:t>
      </w:r>
      <w:r>
        <w:rPr>
          <w:sz w:val="21"/>
        </w:rPr>
        <w:t>合同解除</w:t>
      </w:r>
    </w:p>
    <w:p>
      <w:pPr>
        <w:pStyle w:val="null3"/>
        <w:ind w:firstLine="408"/>
        <w:jc w:val="both"/>
      </w:pPr>
      <w:r>
        <w:rPr>
          <w:sz w:val="21"/>
        </w:rPr>
        <w:t>6.2.1</w:t>
      </w:r>
      <w:r>
        <w:rPr>
          <w:sz w:val="21"/>
        </w:rPr>
        <w:t xml:space="preserve"> </w:t>
      </w:r>
      <w:r>
        <w:rPr>
          <w:sz w:val="21"/>
        </w:rPr>
        <w:t>经双方协商一致，可解除本合同。解除合同签订完毕后，</w:t>
      </w:r>
      <w:r>
        <w:rPr>
          <w:sz w:val="21"/>
        </w:rPr>
        <w:t>本合同废止。</w:t>
      </w:r>
    </w:p>
    <w:p>
      <w:pPr>
        <w:pStyle w:val="null3"/>
        <w:ind w:firstLine="424"/>
        <w:jc w:val="both"/>
      </w:pPr>
      <w:r>
        <w:rPr>
          <w:sz w:val="21"/>
        </w:rPr>
        <w:t>6.2.2</w:t>
      </w:r>
      <w:r>
        <w:rPr>
          <w:sz w:val="21"/>
        </w:rPr>
        <w:t xml:space="preserve"> </w:t>
      </w:r>
      <w:r>
        <w:rPr>
          <w:sz w:val="21"/>
        </w:rPr>
        <w:t>如任何一方发生下列事件，则另一方有权在发出书面解除通知后解除</w:t>
      </w:r>
      <w:r>
        <w:rPr>
          <w:sz w:val="21"/>
        </w:rPr>
        <w:t>本合同：</w:t>
      </w:r>
    </w:p>
    <w:p>
      <w:pPr>
        <w:pStyle w:val="null3"/>
        <w:ind w:firstLine="404"/>
        <w:jc w:val="both"/>
      </w:pPr>
      <w:r>
        <w:rPr>
          <w:sz w:val="21"/>
        </w:rPr>
        <w:t>6.2.2.1</w:t>
      </w:r>
      <w:r>
        <w:rPr>
          <w:sz w:val="21"/>
        </w:rPr>
        <w:t xml:space="preserve"> </w:t>
      </w:r>
      <w:r>
        <w:rPr>
          <w:sz w:val="21"/>
        </w:rPr>
        <w:t>除另有约定外，合同任何一方未及时支付本合同项下的任何到期应付</w:t>
      </w:r>
      <w:r>
        <w:rPr>
          <w:sz w:val="21"/>
        </w:rPr>
        <w:t>款项，且未能在收到相关方书面通知后</w:t>
      </w:r>
      <w:r>
        <w:rPr>
          <w:sz w:val="21"/>
        </w:rPr>
        <w:t>20 个工作日内得到纠正；</w:t>
      </w:r>
    </w:p>
    <w:p>
      <w:pPr>
        <w:pStyle w:val="null3"/>
        <w:ind w:firstLine="416"/>
        <w:jc w:val="both"/>
      </w:pPr>
      <w:r>
        <w:rPr>
          <w:sz w:val="21"/>
        </w:rPr>
        <w:t>6.2.2.2 任何一方被申请破产、清算或被吊销营业执照；</w:t>
      </w:r>
    </w:p>
    <w:p>
      <w:pPr>
        <w:pStyle w:val="null3"/>
        <w:ind w:firstLine="408"/>
        <w:jc w:val="both"/>
      </w:pPr>
      <w:r>
        <w:rPr>
          <w:sz w:val="21"/>
        </w:rPr>
        <w:t>6.2.2.3 任何一方与另一实体联合、合并或将其所有或大部分资产转移给另一</w:t>
      </w:r>
      <w:r>
        <w:rPr>
          <w:sz w:val="21"/>
        </w:rPr>
        <w:t>实体，而该存续的企业不能合理地承担其在本合同项下的所有义务</w:t>
      </w:r>
      <w:r>
        <w:rPr>
          <w:sz w:val="21"/>
        </w:rPr>
        <w:t>。</w:t>
      </w:r>
    </w:p>
    <w:p>
      <w:pPr>
        <w:pStyle w:val="null3"/>
        <w:jc w:val="center"/>
      </w:pPr>
      <w:r>
        <w:rPr>
          <w:sz w:val="28"/>
          <w:b/>
        </w:rPr>
        <w:t>第七章</w:t>
      </w:r>
      <w:r>
        <w:rPr>
          <w:sz w:val="28"/>
          <w:b/>
        </w:rPr>
        <w:t xml:space="preserve">  </w:t>
      </w:r>
      <w:r>
        <w:rPr>
          <w:sz w:val="28"/>
          <w:b/>
        </w:rPr>
        <w:t>争议解决</w:t>
      </w:r>
    </w:p>
    <w:p>
      <w:pPr>
        <w:pStyle w:val="null3"/>
        <w:ind w:firstLine="416"/>
        <w:jc w:val="both"/>
      </w:pPr>
      <w:r>
        <w:rPr>
          <w:sz w:val="21"/>
        </w:rPr>
        <w:t>7.1 凡因执行本合同所发生的与本合同有关的一切争议，包括不限于以下原因：</w:t>
      </w:r>
    </w:p>
    <w:p>
      <w:pPr>
        <w:pStyle w:val="null3"/>
        <w:ind w:firstLine="416"/>
        <w:jc w:val="both"/>
      </w:pPr>
      <w:r>
        <w:rPr>
          <w:sz w:val="21"/>
        </w:rPr>
        <w:t>7.1.1 未向甲方全面客观介绍电力市场相关法律法规、业务规则、零售套餐或售电服务的特征；</w:t>
      </w:r>
    </w:p>
    <w:p>
      <w:pPr>
        <w:pStyle w:val="null3"/>
        <w:ind w:firstLine="416"/>
        <w:jc w:val="both"/>
      </w:pPr>
      <w:r>
        <w:rPr>
          <w:sz w:val="21"/>
        </w:rPr>
        <w:t>7.1.2 未充分揭示风险，未按约定如实向甲方提供相关的资料、信息，欺诈或者误导甲方；</w:t>
      </w:r>
    </w:p>
    <w:p>
      <w:pPr>
        <w:pStyle w:val="null3"/>
        <w:ind w:firstLine="416"/>
        <w:jc w:val="both"/>
      </w:pPr>
      <w:r>
        <w:rPr>
          <w:sz w:val="21"/>
        </w:rPr>
        <w:t>7.1.3 乙方及其关联人员，未获授权、伪造或违背甲方真实意愿擅自使用甲方电子印章及验证信息，将其用于企业管理员授权、签订（含新签、变更及解除）零售电子合同等；</w:t>
      </w:r>
    </w:p>
    <w:p>
      <w:pPr>
        <w:pStyle w:val="null3"/>
        <w:ind w:firstLine="416"/>
        <w:jc w:val="both"/>
      </w:pPr>
      <w:r>
        <w:rPr>
          <w:sz w:val="21"/>
        </w:rPr>
        <w:t>7.1.4 乙方未履行合同审核义务，未对签订（包括不限于通过居间商签订）的零售合同的合法性、真实性、有效性进行严格审核，未与开展交易的甲方对合同真实性、合同套餐及价格参数等关键性条款沟通确认；</w:t>
      </w:r>
    </w:p>
    <w:p>
      <w:pPr>
        <w:pStyle w:val="null3"/>
        <w:ind w:firstLine="416"/>
        <w:jc w:val="both"/>
      </w:pPr>
      <w:r>
        <w:rPr>
          <w:sz w:val="21"/>
        </w:rPr>
        <w:t>7.1.5 乙方与甲方在开展零售交易过程中，通过预设隐藏条款、指向性条款等方式，获取电力用户信任后，签订与前期沟通内容、其他另行约定的合同价格等关键条款不符的线上零售电子合同；</w:t>
      </w:r>
    </w:p>
    <w:p>
      <w:pPr>
        <w:pStyle w:val="null3"/>
        <w:ind w:firstLine="416"/>
        <w:jc w:val="both"/>
      </w:pPr>
      <w:r>
        <w:rPr>
          <w:sz w:val="21"/>
        </w:rPr>
        <w:t>7.1.6 甲方与多家售电公司签订同一履行期限的线下零售交易合同；</w:t>
      </w:r>
    </w:p>
    <w:p>
      <w:pPr>
        <w:pStyle w:val="null3"/>
        <w:ind w:firstLine="416"/>
        <w:jc w:val="both"/>
      </w:pPr>
      <w:r>
        <w:rPr>
          <w:sz w:val="21"/>
        </w:rPr>
        <w:t>7.1.7 甲方签订同一履行期限的线下与线上合同且交易对手方不同；</w:t>
      </w:r>
    </w:p>
    <w:p>
      <w:pPr>
        <w:pStyle w:val="null3"/>
        <w:ind w:firstLine="416"/>
        <w:jc w:val="both"/>
      </w:pPr>
      <w:r>
        <w:rPr>
          <w:sz w:val="21"/>
        </w:rPr>
        <w:t>7.1.8 其他原因造成的合同争议事项。</w:t>
      </w:r>
    </w:p>
    <w:p>
      <w:pPr>
        <w:pStyle w:val="null3"/>
        <w:ind w:firstLine="416"/>
        <w:jc w:val="both"/>
      </w:pPr>
      <w:r>
        <w:rPr>
          <w:sz w:val="21"/>
        </w:rPr>
        <w:t>7.2 对于 7.1 条款中提到的争议事项，交易中心作为电力交易服务平台型企业，无权对争议事项进行全流程回溯、开展证据调查认定等工作，也无权对双方签订的线上零售电子合同进行强制解除、变更等操作。争议双方应自行协商解决，协商不成的，可在电力市场行业内部进行调解。协商或调解不成的，可按本合同附件一零售交易信息第六点争议解决条款约定的方式解决（ 二选一）：</w:t>
      </w:r>
    </w:p>
    <w:p>
      <w:pPr>
        <w:pStyle w:val="null3"/>
        <w:ind w:firstLine="416"/>
        <w:jc w:val="both"/>
      </w:pPr>
      <w:r>
        <w:rPr>
          <w:sz w:val="21"/>
        </w:rPr>
        <w:t>方式一：双方一致同意将争议提交中国广州仲裁委员会，请求按其仲裁规则进行仲裁。仲裁裁决是终局的，对双方均具有法律约束力。</w:t>
      </w:r>
    </w:p>
    <w:p>
      <w:pPr>
        <w:pStyle w:val="null3"/>
        <w:ind w:firstLine="416"/>
        <w:jc w:val="both"/>
      </w:pPr>
      <w:r>
        <w:rPr>
          <w:sz w:val="21"/>
        </w:rPr>
        <w:t>方式二：任何一方依法向原告所在地人民法院提起诉讼。</w:t>
      </w:r>
    </w:p>
    <w:p>
      <w:pPr>
        <w:pStyle w:val="null3"/>
        <w:jc w:val="center"/>
      </w:pPr>
      <w:r>
        <w:rPr>
          <w:sz w:val="28"/>
          <w:b/>
        </w:rPr>
        <w:t>第八章</w:t>
      </w:r>
      <w:r>
        <w:rPr>
          <w:sz w:val="28"/>
          <w:b/>
        </w:rPr>
        <w:t xml:space="preserve">  </w:t>
      </w:r>
      <w:r>
        <w:rPr>
          <w:sz w:val="28"/>
          <w:b/>
        </w:rPr>
        <w:t>其他</w:t>
      </w:r>
    </w:p>
    <w:p>
      <w:pPr>
        <w:pStyle w:val="null3"/>
        <w:ind w:firstLine="416"/>
        <w:jc w:val="both"/>
      </w:pPr>
      <w:r>
        <w:rPr>
          <w:sz w:val="21"/>
        </w:rPr>
        <w:t>8.1 本合同及其附件一、附件二、附件三、附件四构成双方就本合同标的达成的全部内容，且本合同附件对合同正文零售交易的结算规则进行详细说明，应视为构成合同文件不可分割的部分。交易中心按本合同约定的零售交易信息出具结算依据。</w:t>
      </w:r>
    </w:p>
    <w:p>
      <w:pPr>
        <w:pStyle w:val="null3"/>
        <w:ind w:firstLine="416"/>
        <w:jc w:val="both"/>
      </w:pPr>
      <w:r>
        <w:rPr>
          <w:sz w:val="21"/>
        </w:rPr>
        <w:t>8.2 本合同为通过交易平台签订的电子合同，本合同经双方在交易平台完成电子合同签订流程并加盖电子印章后生效。本合同的订立、效力、解释、履行和争议的解决均适用中华人民共和国法律。</w:t>
      </w:r>
    </w:p>
    <w:p>
      <w:pPr>
        <w:pStyle w:val="null3"/>
        <w:ind w:firstLine="416"/>
        <w:jc w:val="both"/>
      </w:pPr>
      <w:r>
        <w:rPr>
          <w:sz w:val="21"/>
        </w:rPr>
        <w:t>（此页无正文）</w:t>
      </w:r>
    </w:p>
    <w:p>
      <w:pPr>
        <w:pStyle w:val="null3"/>
        <w:ind w:firstLine="416"/>
        <w:jc w:val="both"/>
      </w:pPr>
      <w:r>
        <w:rPr>
          <w:sz w:val="21"/>
        </w:rPr>
        <w:t>甲方：</w:t>
      </w:r>
      <w:r>
        <w:rPr>
          <w:sz w:val="21"/>
          <w:u w:val="single"/>
        </w:rPr>
        <w:t xml:space="preserve">      </w:t>
      </w:r>
      <w:r>
        <w:rPr>
          <w:sz w:val="21"/>
          <w:u w:val="single"/>
        </w:rPr>
        <w:t>系统自动生成</w:t>
      </w:r>
      <w:r>
        <w:rPr>
          <w:sz w:val="21"/>
          <w:u w:val="single"/>
        </w:rPr>
        <w:t xml:space="preserve">   </w:t>
      </w:r>
      <w:r>
        <w:rPr/>
        <w:t xml:space="preserve">             </w:t>
      </w:r>
    </w:p>
    <w:p>
      <w:pPr>
        <w:pStyle w:val="null3"/>
        <w:ind w:firstLine="416"/>
        <w:jc w:val="both"/>
      </w:pPr>
      <w:r>
        <w:rPr>
          <w:sz w:val="21"/>
        </w:rPr>
        <w:t>法定代表人</w:t>
      </w:r>
      <w:r>
        <w:rPr>
          <w:sz w:val="21"/>
        </w:rPr>
        <w:t xml:space="preserve">/授权代理人/经营者: </w:t>
      </w:r>
      <w:r>
        <w:rPr>
          <w:sz w:val="21"/>
          <w:u w:val="single"/>
        </w:rPr>
        <w:t>系统自动取</w:t>
      </w:r>
      <w:r>
        <w:rPr>
          <w:sz w:val="21"/>
        </w:rPr>
        <w:t>盖章：</w:t>
      </w:r>
    </w:p>
    <w:p>
      <w:pPr>
        <w:pStyle w:val="null3"/>
        <w:ind w:firstLine="416"/>
        <w:jc w:val="both"/>
      </w:pPr>
      <w:r>
        <w:rPr>
          <w:sz w:val="21"/>
        </w:rPr>
        <w:t>乙方：</w:t>
      </w:r>
      <w:r>
        <w:rPr>
          <w:sz w:val="21"/>
          <w:u w:val="single"/>
        </w:rPr>
        <w:t xml:space="preserve">    </w:t>
      </w:r>
      <w:r>
        <w:rPr>
          <w:sz w:val="21"/>
          <w:u w:val="single"/>
        </w:rPr>
        <w:t>系统自动生成</w:t>
      </w:r>
      <w:r>
        <w:rPr>
          <w:sz w:val="21"/>
          <w:u w:val="single"/>
        </w:rPr>
        <w:t xml:space="preserve">   </w:t>
      </w:r>
    </w:p>
    <w:p>
      <w:pPr>
        <w:pStyle w:val="null3"/>
        <w:ind w:firstLine="416"/>
        <w:jc w:val="both"/>
      </w:pPr>
      <w:r>
        <w:rPr>
          <w:sz w:val="21"/>
        </w:rPr>
        <w:t>法定代表人</w:t>
      </w:r>
      <w:r>
        <w:rPr>
          <w:sz w:val="21"/>
        </w:rPr>
        <w:t>/授权代理人：</w:t>
      </w:r>
      <w:r>
        <w:rPr>
          <w:sz w:val="21"/>
          <w:u w:val="single"/>
        </w:rPr>
        <w:t>系统自动取</w:t>
      </w:r>
      <w:r>
        <w:rPr>
          <w:sz w:val="21"/>
        </w:rPr>
        <w:t>盖章：</w:t>
      </w:r>
    </w:p>
    <w:p>
      <w:pPr>
        <w:pStyle w:val="null3"/>
      </w:pPr>
      <w:r>
        <w:rPr>
          <w:sz w:val="32"/>
          <w:b/>
        </w:rPr>
        <w:t>附件一</w:t>
      </w:r>
      <w:r>
        <w:rPr>
          <w:sz w:val="32"/>
          <w:b/>
        </w:rPr>
        <w:t>零售交易信息</w:t>
      </w:r>
    </w:p>
    <w:p>
      <w:pPr>
        <w:pStyle w:val="null3"/>
        <w:ind w:firstLine="408"/>
        <w:jc w:val="both"/>
      </w:pPr>
      <w:r>
        <w:rPr>
          <w:sz w:val="21"/>
        </w:rPr>
        <w:t>现货运行且合同存续期间，甲乙双方约定按以</w:t>
      </w:r>
      <w:r>
        <w:rPr>
          <w:sz w:val="21"/>
        </w:rPr>
        <w:t>下电能量零售交易套餐模式开</w:t>
      </w:r>
      <w:r>
        <w:rPr>
          <w:sz w:val="21"/>
        </w:rPr>
        <w:t>展月度结算，甲方电能量电费支出等于固定价格模式、市场联动模式、煤电联动</w:t>
      </w:r>
      <w:r>
        <w:rPr>
          <w:sz w:val="21"/>
        </w:rPr>
        <w:t>模式（可选）的费用之和，计算方式详见附件二。双方</w:t>
      </w:r>
      <w:r>
        <w:rPr>
          <w:sz w:val="21"/>
          <w:b/>
        </w:rPr>
        <w:t>签署信息、量价模式、风</w:t>
      </w:r>
      <w:r>
        <w:rPr>
          <w:sz w:val="21"/>
          <w:b/>
        </w:rPr>
        <w:t>险防控、违约赔偿及争议解决等条款</w:t>
      </w:r>
      <w:r>
        <w:rPr>
          <w:sz w:val="21"/>
        </w:rPr>
        <w:t>约定如下：</w:t>
      </w:r>
    </w:p>
    <w:tbl>
      <w:tblPr>
        <w:tblW w:w="0" w:type="auto"/>
        <w:tblBorders>
          <w:top w:val="none" w:color="000000" w:sz="4"/>
          <w:left w:val="none" w:color="000000" w:sz="4"/>
          <w:bottom w:val="none" w:color="000000" w:sz="4"/>
          <w:right w:val="none" w:color="000000" w:sz="4"/>
          <w:insideH w:val="none"/>
          <w:insideV w:val="none"/>
        </w:tblBorders>
      </w:tblPr>
      <w:tblGrid>
        <w:gridCol w:w="962"/>
        <w:gridCol w:w="829"/>
        <w:gridCol w:w="2161"/>
        <w:gridCol w:w="1011"/>
        <w:gridCol w:w="1011"/>
        <w:gridCol w:w="1011"/>
        <w:gridCol w:w="1317"/>
      </w:tblGrid>
      <w:tr>
        <w:tc>
          <w:tcPr>
            <w:tcW w:type="dxa" w:w="8302"/>
            <w:gridSpan w:val="7"/>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18"/>
                <w:b/>
              </w:rPr>
              <w:t>双方签署信息</w:t>
            </w:r>
          </w:p>
        </w:tc>
      </w:tr>
      <w:tr>
        <w:tc>
          <w:tcPr>
            <w:tcW w:type="dxa" w:w="96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sz w:val="18"/>
                <w:b/>
              </w:rPr>
              <w:t>购电方</w:t>
            </w:r>
          </w:p>
          <w:p>
            <w:pPr>
              <w:pStyle w:val="null3"/>
              <w:jc w:val="center"/>
            </w:pPr>
            <w:r>
              <w:rPr>
                <w:sz w:val="18"/>
                <w:b/>
              </w:rPr>
              <w:t>（电力用户，简称</w:t>
            </w:r>
            <w:r>
              <w:rPr>
                <w:sz w:val="18"/>
                <w:b/>
              </w:rPr>
              <w:t>甲方）</w:t>
            </w:r>
          </w:p>
        </w:tc>
        <w:tc>
          <w:tcPr>
            <w:tcW w:type="dxa" w:w="7340"/>
            <w:gridSpan w:val="6"/>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left"/>
            </w:pPr>
            <w:r>
              <w:rPr>
                <w:sz w:val="18"/>
              </w:rPr>
              <w:t>电力用户编码：</w:t>
            </w:r>
            <w:r>
              <w:rPr>
                <w:u w:val="single"/>
              </w:rPr>
              <w:t xml:space="preserve">                  </w:t>
            </w:r>
            <w:r>
              <w:rPr>
                <w:sz w:val="18"/>
              </w:rPr>
              <w:t xml:space="preserve">   </w:t>
            </w:r>
            <w:r>
              <w:rPr>
                <w:sz w:val="18"/>
              </w:rPr>
              <w:t>企业（单位）</w:t>
            </w:r>
            <w:r>
              <w:rPr>
                <w:sz w:val="18"/>
              </w:rPr>
              <w:t>/个体工商户名称：</w:t>
            </w:r>
          </w:p>
          <w:p>
            <w:pPr>
              <w:pStyle w:val="null3"/>
              <w:jc w:val="left"/>
            </w:pPr>
            <w:r>
              <w:rPr>
                <w:sz w:val="18"/>
              </w:rPr>
              <w:t>统一信用代码：</w:t>
            </w:r>
            <w:r>
              <w:rPr>
                <w:u w:val="single"/>
              </w:rPr>
              <w:t xml:space="preserve">                   </w:t>
            </w:r>
            <w:r>
              <w:rPr>
                <w:sz w:val="18"/>
              </w:rPr>
              <w:t xml:space="preserve">  </w:t>
            </w:r>
            <w:r>
              <w:rPr>
                <w:sz w:val="18"/>
              </w:rPr>
              <w:t>所在地址：</w:t>
            </w:r>
          </w:p>
          <w:p>
            <w:pPr>
              <w:pStyle w:val="null3"/>
              <w:jc w:val="left"/>
            </w:pPr>
            <w:r>
              <w:rPr>
                <w:sz w:val="18"/>
              </w:rPr>
              <w:t>法定代表人</w:t>
            </w:r>
            <w:r>
              <w:rPr>
                <w:sz w:val="18"/>
              </w:rPr>
              <w:t>/经营者：</w:t>
            </w:r>
            <w:r>
              <w:rPr>
                <w:u w:val="single"/>
              </w:rPr>
              <w:t xml:space="preserve">              </w:t>
            </w:r>
            <w:r>
              <w:rPr>
                <w:sz w:val="18"/>
              </w:rPr>
              <w:t xml:space="preserve">  </w:t>
            </w:r>
            <w:r>
              <w:rPr>
                <w:sz w:val="18"/>
              </w:rPr>
              <w:t>法定代表人</w:t>
            </w:r>
            <w:r>
              <w:rPr>
                <w:sz w:val="18"/>
              </w:rPr>
              <w:t>/</w:t>
            </w:r>
            <w:r>
              <w:rPr>
                <w:sz w:val="18"/>
              </w:rPr>
              <w:t>经营者有效证件号码：</w:t>
            </w:r>
          </w:p>
          <w:p>
            <w:pPr>
              <w:pStyle w:val="null3"/>
              <w:jc w:val="left"/>
            </w:pPr>
            <w:r>
              <w:rPr>
                <w:sz w:val="18"/>
              </w:rPr>
              <w:t>甲方联系人：</w:t>
            </w:r>
            <w:r>
              <w:rPr>
                <w:u w:val="single"/>
              </w:rPr>
              <w:t xml:space="preserve">                      </w:t>
            </w:r>
            <w:r>
              <w:rPr>
                <w:sz w:val="18"/>
              </w:rPr>
              <w:t xml:space="preserve"> </w:t>
            </w:r>
            <w:r>
              <w:rPr>
                <w:sz w:val="18"/>
              </w:rPr>
              <w:t>联系电话：</w:t>
            </w:r>
          </w:p>
        </w:tc>
      </w:tr>
      <w:tr>
        <w:tc>
          <w:tcPr>
            <w:tcW w:type="dxa" w:w="96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sz w:val="18"/>
                <w:b/>
              </w:rPr>
              <w:t>售电方</w:t>
            </w:r>
          </w:p>
          <w:p>
            <w:pPr>
              <w:pStyle w:val="null3"/>
              <w:jc w:val="center"/>
            </w:pPr>
            <w:r>
              <w:rPr>
                <w:sz w:val="18"/>
                <w:b/>
              </w:rPr>
              <w:t>（售电公司，简称</w:t>
            </w:r>
            <w:r>
              <w:rPr>
                <w:sz w:val="18"/>
                <w:b/>
              </w:rPr>
              <w:t>乙方</w:t>
            </w:r>
            <w:r>
              <w:rPr>
                <w:sz w:val="18"/>
                <w:b/>
              </w:rPr>
              <w:t>）</w:t>
            </w:r>
          </w:p>
        </w:tc>
        <w:tc>
          <w:tcPr>
            <w:tcW w:type="dxa" w:w="7340"/>
            <w:gridSpan w:val="6"/>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left"/>
            </w:pPr>
            <w:r>
              <w:rPr>
                <w:sz w:val="18"/>
              </w:rPr>
              <w:t>售电公司编号：</w:t>
            </w:r>
            <w:r>
              <w:rPr>
                <w:u w:val="single"/>
              </w:rPr>
              <w:t xml:space="preserve">                    </w:t>
            </w:r>
            <w:r>
              <w:rPr>
                <w:sz w:val="18"/>
              </w:rPr>
              <w:t xml:space="preserve"> </w:t>
            </w:r>
            <w:r>
              <w:rPr>
                <w:sz w:val="18"/>
              </w:rPr>
              <w:t>企业名称：</w:t>
            </w:r>
          </w:p>
          <w:p>
            <w:pPr>
              <w:pStyle w:val="null3"/>
              <w:jc w:val="left"/>
            </w:pPr>
            <w:r>
              <w:rPr>
                <w:sz w:val="18"/>
              </w:rPr>
              <w:t>统一信用代码：</w:t>
            </w:r>
            <w:r>
              <w:rPr>
                <w:u w:val="single"/>
              </w:rPr>
              <w:t xml:space="preserve">                   </w:t>
            </w:r>
            <w:r>
              <w:rPr>
                <w:sz w:val="18"/>
              </w:rPr>
              <w:t xml:space="preserve">  </w:t>
            </w:r>
            <w:r>
              <w:rPr>
                <w:sz w:val="18"/>
              </w:rPr>
              <w:t>企业所在地址</w:t>
            </w:r>
            <w:r>
              <w:rPr>
                <w:sz w:val="18"/>
              </w:rPr>
              <w:t>：</w:t>
            </w:r>
          </w:p>
          <w:p>
            <w:pPr>
              <w:pStyle w:val="null3"/>
              <w:jc w:val="left"/>
            </w:pPr>
            <w:r>
              <w:rPr>
                <w:sz w:val="18"/>
              </w:rPr>
              <w:t>法定代表人：</w:t>
            </w:r>
            <w:r>
              <w:rPr>
                <w:u w:val="single"/>
              </w:rPr>
              <w:t xml:space="preserve">                      </w:t>
            </w:r>
            <w:r>
              <w:rPr>
                <w:sz w:val="18"/>
              </w:rPr>
              <w:t xml:space="preserve"> </w:t>
            </w:r>
            <w:r>
              <w:rPr>
                <w:sz w:val="18"/>
              </w:rPr>
              <w:t>法</w:t>
            </w:r>
            <w:r>
              <w:rPr>
                <w:sz w:val="18"/>
              </w:rPr>
              <w:t>定代表人有效证件号码：</w:t>
            </w:r>
          </w:p>
          <w:p>
            <w:pPr>
              <w:pStyle w:val="null3"/>
              <w:jc w:val="left"/>
            </w:pPr>
            <w:r>
              <w:rPr>
                <w:sz w:val="18"/>
              </w:rPr>
              <w:t>乙方联系人：</w:t>
            </w:r>
            <w:r>
              <w:rPr>
                <w:u w:val="single"/>
              </w:rPr>
              <w:t xml:space="preserve">                      </w:t>
            </w:r>
            <w:r>
              <w:rPr/>
              <w:t xml:space="preserve"> </w:t>
            </w:r>
            <w:r>
              <w:rPr>
                <w:sz w:val="18"/>
              </w:rPr>
              <w:t>联系电话：</w:t>
            </w:r>
          </w:p>
        </w:tc>
      </w:tr>
      <w:tr>
        <w:tc>
          <w:tcPr>
            <w:tcW w:type="dxa" w:w="96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sz w:val="18"/>
                <w:b/>
              </w:rPr>
              <w:t>合同有效期</w:t>
            </w:r>
          </w:p>
        </w:tc>
        <w:tc>
          <w:tcPr>
            <w:tcW w:type="dxa" w:w="7340"/>
            <w:gridSpan w:val="6"/>
            <w:tcBorders>
              <w:top w:val="none" w:color="000000" w:sz="4"/>
              <w:left w:val="none" w:color="000000" w:sz="4"/>
              <w:bottom w:val="single" w:color="000000" w:sz="8"/>
              <w:right w:val="single" w:color="000000" w:sz="8"/>
            </w:tcBorders>
            <w:shd w:fill="BDD6EE"/>
            <w:tcMar>
              <w:top w:type="dxa" w:w="0"/>
              <w:left w:type="dxa" w:w="0"/>
              <w:bottom w:type="dxa" w:w="0"/>
              <w:right w:type="dxa" w:w="0"/>
            </w:tcMar>
            <w:vAlign w:val="top"/>
          </w:tcPr>
          <w:p>
            <w:pPr>
              <w:pStyle w:val="null3"/>
              <w:jc w:val="center"/>
            </w:pPr>
            <w:r>
              <w:rPr>
                <w:sz w:val="18"/>
                <w:b/>
              </w:rPr>
              <w:t>年</w:t>
            </w:r>
            <w:r>
              <w:rPr/>
              <w:t xml:space="preserve"> </w:t>
            </w:r>
            <w:r>
              <w:rPr>
                <w:u w:val="single"/>
              </w:rPr>
              <w:t xml:space="preserve">    </w:t>
            </w:r>
            <w:r>
              <w:rPr/>
              <w:t xml:space="preserve"> </w:t>
            </w:r>
            <w:r>
              <w:rPr>
                <w:sz w:val="18"/>
                <w:b/>
              </w:rPr>
              <w:t>月</w:t>
            </w:r>
            <w:r>
              <w:rPr/>
              <w:t xml:space="preserve"> </w:t>
            </w:r>
            <w:r>
              <w:rPr>
                <w:u w:val="single"/>
              </w:rPr>
              <w:t xml:space="preserve">    </w:t>
            </w:r>
            <w:r>
              <w:rPr/>
              <w:t xml:space="preserve"> </w:t>
            </w:r>
            <w:r>
              <w:rPr>
                <w:sz w:val="18"/>
                <w:b/>
              </w:rPr>
              <w:t>日</w:t>
            </w:r>
            <w:r>
              <w:rPr/>
              <w:t xml:space="preserve">     </w:t>
            </w:r>
            <w:r>
              <w:rPr>
                <w:sz w:val="18"/>
                <w:b/>
              </w:rPr>
              <w:t>至</w:t>
            </w:r>
            <w:r>
              <w:rPr/>
              <w:t xml:space="preserve">  </w:t>
            </w:r>
            <w:r>
              <w:rPr>
                <w:u w:val="single"/>
              </w:rPr>
              <w:t xml:space="preserve">    </w:t>
            </w:r>
            <w:r>
              <w:rPr/>
              <w:t xml:space="preserve"> </w:t>
            </w:r>
            <w:r>
              <w:rPr>
                <w:sz w:val="18"/>
                <w:b/>
              </w:rPr>
              <w:t>年</w:t>
            </w:r>
            <w:r>
              <w:rPr/>
              <w:t xml:space="preserve"> </w:t>
            </w:r>
            <w:r>
              <w:rPr>
                <w:u w:val="single"/>
              </w:rPr>
              <w:t xml:space="preserve">    </w:t>
            </w:r>
            <w:r>
              <w:rPr/>
              <w:t xml:space="preserve"> </w:t>
            </w:r>
            <w:r>
              <w:rPr>
                <w:sz w:val="18"/>
                <w:b/>
              </w:rPr>
              <w:t>月</w:t>
            </w:r>
            <w:r>
              <w:rPr/>
              <w:t xml:space="preserve"> </w:t>
            </w:r>
            <w:r>
              <w:rPr>
                <w:u w:val="single"/>
              </w:rPr>
              <w:t xml:space="preserve">    </w:t>
            </w:r>
            <w:r>
              <w:rPr/>
              <w:t xml:space="preserve"> </w:t>
            </w:r>
            <w:r>
              <w:rPr>
                <w:sz w:val="18"/>
                <w:b/>
              </w:rPr>
              <w:t>日</w:t>
            </w:r>
          </w:p>
        </w:tc>
      </w:tr>
      <w:tr>
        <w:tc>
          <w:tcPr>
            <w:tcW w:type="dxa" w:w="96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sz w:val="18"/>
                <w:b/>
              </w:rPr>
              <w:t>电能量零售</w:t>
            </w:r>
            <w:r>
              <w:rPr>
                <w:sz w:val="18"/>
                <w:b/>
              </w:rPr>
              <w:t>套餐模式</w:t>
            </w:r>
          </w:p>
        </w:tc>
        <w:tc>
          <w:tcPr>
            <w:tcW w:type="dxa" w:w="7340"/>
            <w:gridSpan w:val="6"/>
            <w:tcBorders>
              <w:top w:val="none" w:color="000000" w:sz="4"/>
              <w:left w:val="none" w:color="000000" w:sz="4"/>
              <w:bottom w:val="single" w:color="000000" w:sz="8"/>
              <w:right w:val="single" w:color="000000" w:sz="8"/>
            </w:tcBorders>
            <w:shd w:fill="BDD6EE"/>
            <w:tcMar>
              <w:top w:type="dxa" w:w="0"/>
              <w:left w:type="dxa" w:w="0"/>
              <w:bottom w:type="dxa" w:w="0"/>
              <w:right w:type="dxa" w:w="0"/>
            </w:tcMar>
            <w:vAlign w:val="top"/>
          </w:tcPr>
          <w:p>
            <w:pPr>
              <w:pStyle w:val="null3"/>
              <w:jc w:val="center"/>
            </w:pPr>
            <w:r>
              <w:rPr>
                <w:sz w:val="18"/>
              </w:rPr>
              <w:t>固定价格模式</w:t>
            </w:r>
            <w:r>
              <w:rPr>
                <w:sz w:val="18"/>
              </w:rPr>
              <w:t>+市场联动模式+</w:t>
            </w:r>
            <w:r>
              <w:rPr>
                <w:sz w:val="18"/>
                <w:b/>
              </w:rPr>
              <w:t xml:space="preserve">□ </w:t>
            </w:r>
            <w:r>
              <w:rPr>
                <w:sz w:val="18"/>
              </w:rPr>
              <w:t>煤电联动（可选）</w:t>
            </w:r>
          </w:p>
        </w:tc>
      </w:tr>
      <w:tr>
        <w:tc>
          <w:tcPr>
            <w:tcW w:type="dxa" w:w="962"/>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jc w:val="center"/>
            </w:pPr>
            <w:r>
              <w:rPr>
                <w:sz w:val="18"/>
                <w:b/>
              </w:rPr>
              <w:t>一、固定价格模式</w:t>
            </w:r>
            <w:r>
              <w:rPr>
                <w:sz w:val="18"/>
                <w:b/>
              </w:rPr>
              <w:t>（必填）</w:t>
            </w:r>
          </w:p>
        </w:tc>
        <w:tc>
          <w:tcPr>
            <w:tcW w:type="dxa" w:w="8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rPr>
              <w:t>按实际用电量</w:t>
            </w:r>
            <w:r>
              <w:rPr>
                <w:sz w:val="18"/>
                <w:b/>
              </w:rPr>
              <w:t>占比</w:t>
            </w:r>
          </w:p>
        </w:tc>
        <w:tc>
          <w:tcPr>
            <w:tcW w:type="dxa" w:w="3172"/>
            <w:gridSpan w:val="2"/>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rPr>
              <w:t>平段价格</w:t>
            </w:r>
          </w:p>
        </w:tc>
        <w:tc>
          <w:tcPr>
            <w:tcW w:type="dxa" w:w="2022"/>
            <w:gridSpan w:val="2"/>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rPr>
              <w:t>峰段价格</w:t>
            </w:r>
          </w:p>
        </w:tc>
        <w:tc>
          <w:tcPr>
            <w:tcW w:type="dxa" w:w="1317"/>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18"/>
                <w:b/>
              </w:rPr>
              <w:t>谷段价格</w:t>
            </w:r>
          </w:p>
        </w:tc>
      </w:tr>
      <w:tr>
        <w:tc>
          <w:tcPr>
            <w:tcW w:type="dxa" w:w="962"/>
            <w:vMerge/>
            <w:tcBorders>
              <w:top w:val="none" w:color="000000" w:sz="4"/>
              <w:left w:val="single" w:color="000000" w:sz="8"/>
              <w:bottom w:val="none" w:color="000000" w:sz="4"/>
              <w:right w:val="single" w:color="000000" w:sz="4"/>
            </w:tcBorders>
          </w:tcPr>
          <w:p/>
        </w:tc>
        <w:tc>
          <w:tcPr>
            <w:tcW w:type="dxa" w:w="829"/>
            <w:tcBorders>
              <w:top w:val="none" w:color="000000" w:sz="4"/>
              <w:left w:val="none" w:color="000000" w:sz="4"/>
              <w:bottom w:val="single" w:color="000000" w:sz="8"/>
              <w:right w:val="single" w:color="000000" w:sz="4"/>
            </w:tcBorders>
            <w:shd w:fill="BDD6EE"/>
            <w:tcMar>
              <w:top w:type="dxa" w:w="0"/>
              <w:left w:type="dxa" w:w="0"/>
              <w:bottom w:type="dxa" w:w="0"/>
              <w:right w:type="dxa" w:w="0"/>
            </w:tcMar>
            <w:vAlign w:val="top"/>
          </w:tcPr>
          <w:p>
            <w:pPr>
              <w:pStyle w:val="null3"/>
              <w:jc w:val="center"/>
            </w:pPr>
            <w:r>
              <w:rPr>
                <w:sz w:val="18"/>
                <w:b/>
              </w:rPr>
              <w:t>%</w:t>
            </w:r>
          </w:p>
        </w:tc>
        <w:tc>
          <w:tcPr>
            <w:tcW w:type="dxa" w:w="3172"/>
            <w:gridSpan w:val="2"/>
            <w:tcBorders>
              <w:top w:val="none" w:color="000000" w:sz="4"/>
              <w:left w:val="none" w:color="000000" w:sz="4"/>
              <w:bottom w:val="single" w:color="000000" w:sz="8"/>
              <w:right w:val="single" w:color="000000" w:sz="4"/>
            </w:tcBorders>
            <w:shd w:fill="BDD6EE"/>
            <w:tcMar>
              <w:top w:type="dxa" w:w="0"/>
              <w:left w:type="dxa" w:w="0"/>
              <w:bottom w:type="dxa" w:w="0"/>
              <w:right w:type="dxa" w:w="0"/>
            </w:tcMar>
            <w:vAlign w:val="top"/>
          </w:tcPr>
          <w:p>
            <w:pPr>
              <w:pStyle w:val="null3"/>
              <w:jc w:val="center"/>
            </w:pPr>
            <w:r>
              <w:rPr>
                <w:sz w:val="18"/>
                <w:b/>
              </w:rPr>
              <w:t>XXX</w:t>
            </w:r>
            <w:r>
              <w:rPr/>
              <w:t xml:space="preserve"> </w:t>
            </w:r>
            <w:r>
              <w:rPr>
                <w:sz w:val="18"/>
                <w:b/>
              </w:rPr>
              <w:t>元</w:t>
            </w:r>
            <w:r>
              <w:rPr>
                <w:sz w:val="18"/>
                <w:b/>
              </w:rPr>
              <w:t>/兆瓦时</w:t>
            </w:r>
          </w:p>
        </w:tc>
        <w:tc>
          <w:tcPr>
            <w:tcW w:type="dxa" w:w="2022"/>
            <w:gridSpan w:val="2"/>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18"/>
              </w:rPr>
              <w:t>系统根据峰电价比例计算</w:t>
            </w:r>
          </w:p>
        </w:tc>
        <w:tc>
          <w:tcPr>
            <w:tcW w:type="dxa" w:w="131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8"/>
              </w:rPr>
              <w:t>系统根据谷电价比例计算</w:t>
            </w:r>
          </w:p>
        </w:tc>
      </w:tr>
      <w:tr>
        <w:tc>
          <w:tcPr>
            <w:tcW w:type="dxa" w:w="962"/>
            <w:vMerge/>
            <w:tcBorders>
              <w:top w:val="none" w:color="000000" w:sz="4"/>
              <w:left w:val="single" w:color="000000" w:sz="8"/>
              <w:bottom w:val="none" w:color="000000" w:sz="4"/>
              <w:right w:val="single" w:color="000000" w:sz="4"/>
            </w:tcBorders>
          </w:tcPr>
          <w:p/>
        </w:tc>
        <w:tc>
          <w:tcPr>
            <w:tcW w:type="dxa" w:w="829"/>
            <w:tcBorders>
              <w:top w:val="none" w:color="000000" w:sz="4"/>
              <w:left w:val="none" w:color="000000" w:sz="4"/>
              <w:bottom w:val="single" w:color="000000" w:sz="8"/>
              <w:right w:val="single" w:color="000000" w:sz="4"/>
            </w:tcBorders>
            <w:shd w:fill="BDD6EE"/>
            <w:tcMar>
              <w:top w:type="dxa" w:w="0"/>
              <w:left w:type="dxa" w:w="0"/>
              <w:bottom w:type="dxa" w:w="0"/>
              <w:right w:type="dxa" w:w="0"/>
            </w:tcMar>
            <w:vAlign w:val="top"/>
          </w:tcPr>
          <w:p>
            <w:pPr>
              <w:pStyle w:val="null3"/>
              <w:jc w:val="center"/>
            </w:pPr>
            <w:r>
              <w:rPr>
                <w:sz w:val="18"/>
                <w:b/>
              </w:rPr>
              <w:t>限值变化</w:t>
            </w:r>
            <w:r>
              <w:rPr>
                <w:sz w:val="18"/>
                <w:b/>
              </w:rPr>
              <w:t>附加条款</w:t>
            </w:r>
          </w:p>
        </w:tc>
        <w:tc>
          <w:tcPr>
            <w:tcW w:type="dxa" w:w="6511"/>
            <w:gridSpan w:val="5"/>
            <w:tcBorders>
              <w:top w:val="none" w:color="000000" w:sz="4"/>
              <w:left w:val="none" w:color="000000" w:sz="4"/>
              <w:bottom w:val="single" w:color="000000" w:sz="8"/>
              <w:right w:val="single" w:color="000000" w:sz="8"/>
            </w:tcBorders>
            <w:shd w:fill="BDD6EE"/>
            <w:tcMar>
              <w:top w:type="dxa" w:w="0"/>
              <w:left w:type="dxa" w:w="0"/>
              <w:bottom w:type="dxa" w:w="0"/>
              <w:right w:type="dxa" w:w="0"/>
            </w:tcMar>
            <w:vAlign w:val="top"/>
          </w:tcPr>
          <w:p>
            <w:pPr>
              <w:pStyle w:val="null3"/>
              <w:ind w:right="135" w:firstLine="3"/>
              <w:jc w:val="left"/>
            </w:pPr>
            <w:r>
              <w:rPr>
                <w:sz w:val="18"/>
                <w:b/>
              </w:rPr>
              <w:t>如政府主管部门调整标的年份的固定平段价格上下限参数，与签约时点的固定</w:t>
            </w:r>
            <w:r>
              <w:rPr>
                <w:sz w:val="18"/>
                <w:b/>
              </w:rPr>
              <w:t>平段价格上下限参数不一致，交易双方可在平等自愿、</w:t>
            </w:r>
            <w:r>
              <w:rPr/>
              <w:t xml:space="preserve"> </w:t>
            </w:r>
            <w:r>
              <w:rPr>
                <w:sz w:val="18"/>
                <w:b/>
              </w:rPr>
              <w:t>自主协商的情况下对本</w:t>
            </w:r>
            <w:r>
              <w:rPr>
                <w:sz w:val="18"/>
                <w:b/>
              </w:rPr>
              <w:t>合同进行变更或解除，如未变更或解除本合同，交易双方一致认可本合同继续有效且同意按以下方式进行固定价格模式费用结算：</w:t>
            </w:r>
          </w:p>
          <w:p>
            <w:pPr>
              <w:pStyle w:val="null3"/>
              <w:ind w:right="135" w:firstLine="11"/>
              <w:jc w:val="left"/>
            </w:pPr>
            <w:r>
              <w:rPr>
                <w:sz w:val="18"/>
                <w:b/>
              </w:rPr>
              <w:t>1.约定的固定平段价格在标的年份的固定平段价格上下限范围内，按约定值结</w:t>
            </w:r>
            <w:r>
              <w:rPr>
                <w:sz w:val="18"/>
                <w:b/>
              </w:rPr>
              <w:t>算；</w:t>
            </w:r>
          </w:p>
          <w:p>
            <w:pPr>
              <w:pStyle w:val="null3"/>
              <w:ind w:right="135"/>
              <w:jc w:val="left"/>
            </w:pPr>
            <w:r>
              <w:rPr>
                <w:sz w:val="18"/>
                <w:b/>
              </w:rPr>
              <w:t>2.约定的固定平段价格低于标的年份的固定平段价格下限的，按标的年份的固</w:t>
            </w:r>
            <w:r>
              <w:rPr>
                <w:sz w:val="18"/>
                <w:b/>
              </w:rPr>
              <w:t>定平段价格下限结算；</w:t>
            </w:r>
          </w:p>
          <w:p>
            <w:pPr>
              <w:pStyle w:val="null3"/>
              <w:ind w:right="135"/>
              <w:jc w:val="left"/>
            </w:pPr>
            <w:r>
              <w:rPr>
                <w:sz w:val="18"/>
                <w:b/>
              </w:rPr>
              <w:t>3.约定的固定平段价格高于标的年份的固定平段价格上限的，按标的年份的固</w:t>
            </w:r>
            <w:r>
              <w:rPr>
                <w:sz w:val="18"/>
                <w:b/>
              </w:rPr>
              <w:t>定平段价格上限结算。</w:t>
            </w:r>
          </w:p>
        </w:tc>
      </w:tr>
      <w:tr>
        <w:tc>
          <w:tcPr>
            <w:tcW w:type="dxa" w:w="962"/>
            <w:vMerge w:val="restart"/>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sz w:val="18"/>
                <w:b/>
              </w:rPr>
              <w:t>二、市场联动模式</w:t>
            </w:r>
            <w:r>
              <w:rPr>
                <w:sz w:val="18"/>
                <w:b/>
              </w:rPr>
              <w:t>（必填）</w:t>
            </w:r>
          </w:p>
        </w:tc>
        <w:tc>
          <w:tcPr>
            <w:tcW w:type="dxa" w:w="8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rPr>
              <w:t>联动价格</w:t>
            </w:r>
          </w:p>
        </w:tc>
        <w:tc>
          <w:tcPr>
            <w:tcW w:type="dxa" w:w="21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rPr>
              <w:t>按实际用电量</w:t>
            </w:r>
            <w:r>
              <w:rPr>
                <w:sz w:val="18"/>
                <w:b/>
              </w:rPr>
              <w:t>占比</w:t>
            </w:r>
          </w:p>
        </w:tc>
        <w:tc>
          <w:tcPr>
            <w:tcW w:type="dxa" w:w="4350"/>
            <w:gridSpan w:val="4"/>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18"/>
                <w:b/>
              </w:rPr>
              <w:t>市场联动价格类型（平段）</w:t>
            </w:r>
          </w:p>
        </w:tc>
      </w:tr>
      <w:tr>
        <w:tc>
          <w:tcPr>
            <w:tcW w:type="dxa" w:w="962"/>
            <w:vMerge/>
            <w:tcBorders>
              <w:top w:val="none" w:color="000000" w:sz="4"/>
              <w:left w:val="single" w:color="000000" w:sz="8"/>
              <w:bottom w:val="single" w:color="000000" w:sz="8"/>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rPr>
              <w:t>联动月度价格</w:t>
            </w:r>
            <w:r>
              <w:rPr>
                <w:sz w:val="18"/>
                <w:b/>
              </w:rPr>
              <w:t>（必填）</w:t>
            </w:r>
          </w:p>
        </w:tc>
        <w:tc>
          <w:tcPr>
            <w:tcW w:type="dxa" w:w="2161"/>
            <w:tcBorders>
              <w:top w:val="none" w:color="000000" w:sz="4"/>
              <w:left w:val="none" w:color="000000" w:sz="4"/>
              <w:bottom w:val="single" w:color="000000" w:sz="4"/>
              <w:right w:val="single" w:color="000000" w:sz="4"/>
            </w:tcBorders>
            <w:shd w:fill="BDD6EE"/>
            <w:tcMar>
              <w:top w:type="dxa" w:w="0"/>
              <w:left w:type="dxa" w:w="0"/>
              <w:bottom w:type="dxa" w:w="0"/>
              <w:right w:type="dxa" w:w="0"/>
            </w:tcMar>
            <w:vAlign w:val="top"/>
          </w:tcPr>
          <w:p>
            <w:pPr>
              <w:pStyle w:val="null3"/>
              <w:jc w:val="center"/>
            </w:pPr>
            <w:r>
              <w:rPr>
                <w:sz w:val="18"/>
                <w:b/>
              </w:rPr>
              <w:t>%</w:t>
            </w:r>
          </w:p>
        </w:tc>
        <w:tc>
          <w:tcPr>
            <w:tcW w:type="dxa" w:w="2022"/>
            <w:gridSpan w:val="2"/>
            <w:tcBorders>
              <w:top w:val="none" w:color="000000" w:sz="4"/>
              <w:left w:val="none" w:color="000000" w:sz="4"/>
              <w:bottom w:val="single" w:color="000000" w:sz="4"/>
              <w:right w:val="single" w:color="000000" w:sz="4"/>
            </w:tcBorders>
            <w:shd w:fill="BDD6EE"/>
            <w:tcMar>
              <w:top w:type="dxa" w:w="0"/>
              <w:left w:type="dxa" w:w="0"/>
              <w:bottom w:type="dxa" w:w="0"/>
              <w:right w:type="dxa" w:w="0"/>
            </w:tcMar>
            <w:vAlign w:val="top"/>
          </w:tcPr>
          <w:p>
            <w:pPr>
              <w:pStyle w:val="null3"/>
              <w:jc w:val="center"/>
            </w:pPr>
            <w:r>
              <w:rPr>
                <w:sz w:val="18"/>
                <w:b/>
              </w:rPr>
              <w:t>□</w:t>
            </w:r>
            <w:r>
              <w:rPr/>
              <w:t xml:space="preserve"> </w:t>
            </w:r>
            <w:r>
              <w:rPr>
                <w:sz w:val="18"/>
                <w:b/>
              </w:rPr>
              <w:t>月度集中竞争交易综合价</w:t>
            </w:r>
          </w:p>
        </w:tc>
        <w:tc>
          <w:tcPr>
            <w:tcW w:type="dxa" w:w="2328"/>
            <w:gridSpan w:val="2"/>
            <w:tcBorders>
              <w:top w:val="single" w:color="000000" w:sz="4"/>
              <w:left w:val="none" w:color="000000" w:sz="4"/>
              <w:bottom w:val="single" w:color="000000" w:sz="4"/>
              <w:right w:val="single" w:color="000000" w:sz="8"/>
            </w:tcBorders>
            <w:shd w:fill="BDD6EE"/>
            <w:tcMar>
              <w:top w:type="dxa" w:w="0"/>
              <w:left w:type="dxa" w:w="0"/>
              <w:bottom w:type="dxa" w:w="0"/>
              <w:right w:type="dxa" w:w="0"/>
            </w:tcMar>
            <w:vAlign w:val="top"/>
          </w:tcPr>
          <w:p>
            <w:pPr>
              <w:pStyle w:val="null3"/>
              <w:jc w:val="center"/>
            </w:pPr>
            <w:r>
              <w:rPr>
                <w:sz w:val="18"/>
                <w:b/>
              </w:rPr>
              <w:t>□ 月度中长期交易综合价</w:t>
            </w:r>
          </w:p>
        </w:tc>
      </w:tr>
      <w:tr>
        <w:tc>
          <w:tcPr>
            <w:tcW w:type="dxa" w:w="962"/>
            <w:vMerge/>
            <w:tcBorders>
              <w:top w:val="none" w:color="000000" w:sz="4"/>
              <w:left w:val="single" w:color="000000" w:sz="8"/>
              <w:bottom w:val="single" w:color="000000" w:sz="8"/>
              <w:right w:val="single" w:color="000000" w:sz="4"/>
            </w:tcBorders>
          </w:tcPr>
          <w:p/>
        </w:tc>
        <w:tc>
          <w:tcPr>
            <w:tcW w:type="dxa" w:w="82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18"/>
                <w:b/>
              </w:rPr>
              <w:t>联动现货价格</w:t>
            </w:r>
            <w:r>
              <w:rPr>
                <w:sz w:val="18"/>
                <w:b/>
              </w:rPr>
              <w:t>（必填）</w:t>
            </w:r>
          </w:p>
        </w:tc>
        <w:tc>
          <w:tcPr>
            <w:tcW w:type="dxa" w:w="2161"/>
            <w:tcBorders>
              <w:top w:val="none" w:color="000000" w:sz="4"/>
              <w:left w:val="none" w:color="000000" w:sz="4"/>
              <w:bottom w:val="single" w:color="000000" w:sz="8"/>
              <w:right w:val="single" w:color="000000" w:sz="4"/>
            </w:tcBorders>
            <w:shd w:fill="BDD6EE"/>
            <w:tcMar>
              <w:top w:type="dxa" w:w="0"/>
              <w:left w:type="dxa" w:w="0"/>
              <w:bottom w:type="dxa" w:w="0"/>
              <w:right w:type="dxa" w:w="0"/>
            </w:tcMar>
            <w:vAlign w:val="top"/>
          </w:tcPr>
          <w:p>
            <w:pPr>
              <w:pStyle w:val="null3"/>
              <w:jc w:val="center"/>
            </w:pPr>
            <w:r>
              <w:rPr>
                <w:sz w:val="18"/>
                <w:b/>
              </w:rPr>
              <w:t>%</w:t>
            </w:r>
          </w:p>
        </w:tc>
        <w:tc>
          <w:tcPr>
            <w:tcW w:type="dxa" w:w="4350"/>
            <w:gridSpan w:val="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8"/>
                <w:b/>
              </w:rPr>
              <w:t>日前市场月度加权平均综合价</w:t>
            </w:r>
          </w:p>
        </w:tc>
      </w:tr>
      <w:tr>
        <w:tc>
          <w:tcPr>
            <w:tcW w:type="dxa" w:w="962"/>
            <w:vMerge w:val="restart"/>
            <w:tcBorders>
              <w:top w:val="none" w:color="000000" w:sz="4"/>
              <w:left w:val="single" w:color="000000" w:sz="8"/>
              <w:bottom w:val="none" w:color="000000" w:sz="4"/>
              <w:right w:val="single" w:color="000000" w:sz="4"/>
            </w:tcBorders>
            <w:shd w:fill="BDD6EE"/>
            <w:tcMar>
              <w:top w:type="dxa" w:w="0"/>
              <w:left w:type="dxa" w:w="0"/>
              <w:bottom w:type="dxa" w:w="0"/>
              <w:right w:type="dxa" w:w="0"/>
            </w:tcMar>
            <w:vAlign w:val="top"/>
          </w:tcPr>
          <w:p>
            <w:pPr>
              <w:pStyle w:val="null3"/>
              <w:jc w:val="center"/>
            </w:pPr>
            <w:r>
              <w:rPr>
                <w:sz w:val="18"/>
                <w:b/>
              </w:rPr>
              <w:t>□</w:t>
            </w:r>
            <w:r>
              <w:rPr/>
              <w:t xml:space="preserve"> </w:t>
            </w:r>
            <w:r>
              <w:rPr>
                <w:sz w:val="18"/>
                <w:b/>
              </w:rPr>
              <w:t>三、煤电联动</w:t>
            </w:r>
            <w:r>
              <w:rPr>
                <w:sz w:val="18"/>
                <w:b/>
              </w:rPr>
              <w:t>（选填）</w:t>
            </w:r>
          </w:p>
        </w:tc>
        <w:tc>
          <w:tcPr>
            <w:tcW w:type="dxa" w:w="8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rPr>
              <w:t>计费参数</w:t>
            </w:r>
          </w:p>
        </w:tc>
        <w:tc>
          <w:tcPr>
            <w:tcW w:type="dxa" w:w="317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rPr>
              <w:t>参数描述</w:t>
            </w:r>
          </w:p>
        </w:tc>
        <w:tc>
          <w:tcPr>
            <w:tcW w:type="dxa" w:w="3339"/>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18"/>
                <w:b/>
              </w:rPr>
              <w:t>参数值</w:t>
            </w:r>
          </w:p>
        </w:tc>
      </w:tr>
      <w:tr>
        <w:tc>
          <w:tcPr>
            <w:tcW w:type="dxa" w:w="962"/>
            <w:vMerge/>
            <w:tcBorders>
              <w:top w:val="none" w:color="000000" w:sz="4"/>
              <w:left w:val="single" w:color="000000" w:sz="8"/>
              <w:bottom w:val="none" w:color="000000" w:sz="4"/>
              <w:right w:val="single" w:color="000000" w:sz="4"/>
            </w:tcBorders>
          </w:tcPr>
          <w:p/>
        </w:tc>
        <w:tc>
          <w:tcPr>
            <w:tcW w:type="dxa" w:w="8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rPr>
              <w:t>结算电量</w:t>
            </w:r>
          </w:p>
        </w:tc>
        <w:tc>
          <w:tcPr>
            <w:tcW w:type="dxa" w:w="317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固定价格部分电量占比（计量单位：</w:t>
            </w:r>
            <w:r>
              <w:rPr>
                <w:sz w:val="18"/>
              </w:rPr>
              <w:t>%）</w:t>
            </w:r>
          </w:p>
        </w:tc>
        <w:tc>
          <w:tcPr>
            <w:tcW w:type="dxa" w:w="3339"/>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18"/>
              </w:rPr>
              <w:t>系统自动读取固定价格</w:t>
            </w:r>
            <w:r>
              <w:rPr>
                <w:sz w:val="18"/>
              </w:rPr>
              <w:t>电量占比</w:t>
            </w:r>
          </w:p>
        </w:tc>
      </w:tr>
      <w:tr>
        <w:tc>
          <w:tcPr>
            <w:tcW w:type="dxa" w:w="962"/>
            <w:vMerge/>
            <w:tcBorders>
              <w:top w:val="none" w:color="000000" w:sz="4"/>
              <w:left w:val="single" w:color="000000" w:sz="8"/>
              <w:bottom w:val="none" w:color="000000" w:sz="4"/>
              <w:right w:val="single" w:color="000000" w:sz="4"/>
            </w:tcBorders>
          </w:tcPr>
          <w:p/>
        </w:tc>
        <w:tc>
          <w:tcPr>
            <w:tcW w:type="dxa" w:w="8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rPr>
              <w:t>基准值</w:t>
            </w:r>
          </w:p>
        </w:tc>
        <w:tc>
          <w:tcPr>
            <w:tcW w:type="dxa" w:w="317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rPr>
              <w:t>当指数超过</w:t>
            </w:r>
            <w:r>
              <w:rPr>
                <w:sz w:val="18"/>
              </w:rPr>
              <w:t>/低于该参考基准值时，结算电价进行</w:t>
            </w:r>
          </w:p>
          <w:p>
            <w:pPr>
              <w:pStyle w:val="null3"/>
              <w:jc w:val="center"/>
            </w:pPr>
            <w:r>
              <w:rPr>
                <w:sz w:val="18"/>
              </w:rPr>
              <w:t>浮动（计量单位：元</w:t>
            </w:r>
            <w:r>
              <w:rPr>
                <w:sz w:val="18"/>
              </w:rPr>
              <w:t>/吨）</w:t>
            </w:r>
          </w:p>
        </w:tc>
        <w:tc>
          <w:tcPr>
            <w:tcW w:type="dxa" w:w="3339"/>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18"/>
              </w:rPr>
              <w:t>交易中心发布签约月份煤炭参考价</w:t>
            </w:r>
          </w:p>
        </w:tc>
      </w:tr>
      <w:tr>
        <w:tc>
          <w:tcPr>
            <w:tcW w:type="dxa" w:w="962"/>
            <w:vMerge/>
            <w:tcBorders>
              <w:top w:val="none" w:color="000000" w:sz="4"/>
              <w:left w:val="single" w:color="000000" w:sz="8"/>
              <w:bottom w:val="none" w:color="000000" w:sz="4"/>
              <w:right w:val="single" w:color="000000" w:sz="4"/>
            </w:tcBorders>
          </w:tcPr>
          <w:p/>
        </w:tc>
        <w:tc>
          <w:tcPr>
            <w:tcW w:type="dxa" w:w="82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18"/>
                <w:b/>
              </w:rPr>
              <w:t>浮动单价</w:t>
            </w:r>
          </w:p>
        </w:tc>
        <w:tc>
          <w:tcPr>
            <w:tcW w:type="dxa" w:w="3172"/>
            <w:gridSpan w:val="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18"/>
              </w:rPr>
              <w:t>当指数超过基准值每</w:t>
            </w:r>
            <w:r>
              <w:rPr/>
              <w:t xml:space="preserve"> </w:t>
            </w:r>
            <w:r>
              <w:rPr>
                <w:sz w:val="18"/>
              </w:rPr>
              <w:t>100</w:t>
            </w:r>
            <w:r>
              <w:rPr/>
              <w:t xml:space="preserve"> </w:t>
            </w:r>
            <w:r>
              <w:rPr>
                <w:sz w:val="18"/>
              </w:rPr>
              <w:t>元</w:t>
            </w:r>
            <w:r>
              <w:rPr>
                <w:sz w:val="18"/>
              </w:rPr>
              <w:t>/吨时，结算电价上下</w:t>
            </w:r>
          </w:p>
          <w:p>
            <w:pPr>
              <w:pStyle w:val="null3"/>
              <w:jc w:val="center"/>
            </w:pPr>
            <w:r>
              <w:rPr>
                <w:sz w:val="18"/>
              </w:rPr>
              <w:t>浮动的幅度（计量单位：元</w:t>
            </w:r>
            <w:r>
              <w:rPr>
                <w:sz w:val="18"/>
              </w:rPr>
              <w:t>/兆瓦时）</w:t>
            </w:r>
          </w:p>
        </w:tc>
        <w:tc>
          <w:tcPr>
            <w:tcW w:type="dxa" w:w="3339"/>
            <w:gridSpan w:val="3"/>
            <w:tcBorders>
              <w:top w:val="none" w:color="000000" w:sz="4"/>
              <w:left w:val="single" w:color="000000" w:sz="4"/>
              <w:bottom w:val="single" w:color="000000" w:sz="8"/>
              <w:right w:val="single" w:color="000000" w:sz="4"/>
            </w:tcBorders>
            <w:shd w:fill="BDD6EE"/>
            <w:tcMar>
              <w:top w:type="dxa" w:w="0"/>
              <w:left w:type="dxa" w:w="0"/>
              <w:bottom w:type="dxa" w:w="0"/>
              <w:right w:type="dxa" w:w="0"/>
            </w:tcMar>
            <w:vAlign w:val="top"/>
          </w:tcPr>
          <w:p>
            <w:pPr>
              <w:pStyle w:val="null3"/>
              <w:jc w:val="center"/>
            </w:pPr>
            <w:r>
              <w:rPr>
                <w:sz w:val="18"/>
              </w:rPr>
              <w:t>双方约定填报，</w:t>
            </w:r>
          </w:p>
          <w:p>
            <w:pPr>
              <w:pStyle w:val="null3"/>
              <w:jc w:val="center"/>
            </w:pPr>
            <w:r>
              <w:rPr>
                <w:sz w:val="18"/>
              </w:rPr>
              <w:t>需在规则规定范围内</w:t>
            </w:r>
          </w:p>
        </w:tc>
      </w:tr>
      <w:tr>
        <w:tc>
          <w:tcPr>
            <w:tcW w:type="dxa" w:w="96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18"/>
                <w:b/>
              </w:rPr>
              <w:t>四、市场风控条款</w:t>
            </w:r>
          </w:p>
        </w:tc>
        <w:tc>
          <w:tcPr>
            <w:tcW w:type="dxa" w:w="7340"/>
            <w:gridSpan w:val="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right="165" w:firstLine="13"/>
              <w:jc w:val="left"/>
            </w:pPr>
            <w:r>
              <w:rPr>
                <w:sz w:val="18"/>
                <w:b/>
              </w:rPr>
              <w:t>1.本合同履行期间，当结算月份甲方平段电量结算价较结算月批发</w:t>
            </w:r>
            <w:r>
              <w:rPr>
                <w:sz w:val="18"/>
                <w:b/>
              </w:rPr>
              <w:t>均价超过</w:t>
            </w:r>
            <w:r>
              <w:rPr/>
              <w:t xml:space="preserve"> </w:t>
            </w:r>
            <w:r>
              <w:rPr>
                <w:sz w:val="18"/>
                <w:b/>
              </w:rPr>
              <w:t>15%或低于</w:t>
            </w:r>
            <w:r>
              <w:rPr/>
              <w:t xml:space="preserve"> </w:t>
            </w:r>
            <w:r>
              <w:rPr>
                <w:sz w:val="18"/>
                <w:b/>
              </w:rPr>
              <w:t>20%时，</w:t>
            </w:r>
            <w:r>
              <w:rPr>
                <w:sz w:val="18"/>
                <w:b/>
              </w:rPr>
              <w:t>双方执行超额电费共担条款，</w:t>
            </w:r>
          </w:p>
          <w:p>
            <w:pPr>
              <w:pStyle w:val="null3"/>
              <w:ind w:right="105"/>
              <w:jc w:val="left"/>
            </w:pPr>
            <w:r>
              <w:rPr>
                <w:sz w:val="18"/>
                <w:b/>
              </w:rPr>
              <w:t>2.本合同履行期间，当结算月份甲方平段电量结算价较结算月批发均</w:t>
            </w:r>
            <w:r>
              <w:rPr>
                <w:sz w:val="18"/>
                <w:b/>
              </w:rPr>
              <w:t>价超过</w:t>
            </w:r>
            <w:r>
              <w:rPr/>
              <w:t xml:space="preserve"> </w:t>
            </w:r>
            <w:r>
              <w:rPr>
                <w:sz w:val="18"/>
                <w:b/>
              </w:rPr>
              <w:t>15%时，甲方有权在行权期限内执行单方解约条款。</w:t>
            </w:r>
          </w:p>
          <w:p>
            <w:pPr>
              <w:pStyle w:val="null3"/>
              <w:jc w:val="left"/>
            </w:pPr>
            <w:r>
              <w:rPr>
                <w:sz w:val="18"/>
                <w:b/>
              </w:rPr>
              <w:t>具体内容详见附件二电能量零售交易说明第</w:t>
            </w:r>
            <w:r>
              <w:rPr/>
              <w:t xml:space="preserve"> </w:t>
            </w:r>
            <w:r>
              <w:rPr>
                <w:sz w:val="18"/>
                <w:b/>
              </w:rPr>
              <w:t>4</w:t>
            </w:r>
            <w:r>
              <w:rPr/>
              <w:t xml:space="preserve"> </w:t>
            </w:r>
            <w:r>
              <w:rPr>
                <w:sz w:val="18"/>
                <w:b/>
              </w:rPr>
              <w:t>点市场风控条款。</w:t>
            </w:r>
          </w:p>
        </w:tc>
      </w:tr>
      <w:tr>
        <w:tc>
          <w:tcPr>
            <w:tcW w:type="dxa" w:w="96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18"/>
                <w:b/>
              </w:rPr>
              <w:t>五、违约赔偿条款</w:t>
            </w:r>
          </w:p>
        </w:tc>
        <w:tc>
          <w:tcPr>
            <w:tcW w:type="dxa" w:w="7340"/>
            <w:gridSpan w:val="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right="90"/>
              <w:jc w:val="left"/>
            </w:pPr>
            <w:r>
              <w:rPr>
                <w:sz w:val="18"/>
              </w:rPr>
              <w:t>当任何一方违反本合同约定出现违约行为，违约方应向守约方支付违约造成的经</w:t>
            </w:r>
            <w:r>
              <w:rPr>
                <w:sz w:val="18"/>
              </w:rPr>
              <w:t>济损失，违约金的计算标准为</w:t>
            </w:r>
            <w:r>
              <w:rPr>
                <w:sz w:val="18"/>
              </w:rPr>
              <w:t>：</w:t>
            </w:r>
            <w:r>
              <w:rPr>
                <w:u w:val="single"/>
              </w:rPr>
              <w:t xml:space="preserve">                         </w:t>
            </w:r>
            <w:r>
              <w:rPr/>
              <w:t xml:space="preserve"> </w:t>
            </w:r>
            <w:r>
              <w:rPr>
                <w:sz w:val="18"/>
              </w:rPr>
              <w:t>，</w:t>
            </w:r>
            <w:r>
              <w:rPr>
                <w:sz w:val="18"/>
              </w:rPr>
              <w:t>该违约金由双方自行结算赔偿。</w:t>
            </w:r>
          </w:p>
        </w:tc>
      </w:tr>
      <w:tr>
        <w:tc>
          <w:tcPr>
            <w:tcW w:type="dxa" w:w="96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18"/>
                <w:b/>
              </w:rPr>
              <w:t>六、争议解决条款</w:t>
            </w:r>
            <w:r>
              <w:rPr>
                <w:sz w:val="18"/>
                <w:b/>
              </w:rPr>
              <w:t>（二选一）</w:t>
            </w:r>
          </w:p>
        </w:tc>
        <w:tc>
          <w:tcPr>
            <w:tcW w:type="dxa" w:w="2990"/>
            <w:gridSpan w:val="2"/>
            <w:tcBorders>
              <w:top w:val="none" w:color="000000" w:sz="4"/>
              <w:left w:val="single" w:color="000000" w:sz="4"/>
              <w:bottom w:val="single" w:color="000000" w:sz="4"/>
              <w:right w:val="single" w:color="000000" w:sz="8"/>
            </w:tcBorders>
            <w:shd w:fill="BDD6EE"/>
            <w:tcMar>
              <w:top w:type="dxa" w:w="0"/>
              <w:left w:type="dxa" w:w="0"/>
              <w:bottom w:type="dxa" w:w="0"/>
              <w:right w:type="dxa" w:w="0"/>
            </w:tcMar>
            <w:vAlign w:val="top"/>
          </w:tcPr>
          <w:p>
            <w:pPr>
              <w:pStyle w:val="null3"/>
              <w:jc w:val="center"/>
            </w:pPr>
            <w:r>
              <w:rPr>
                <w:sz w:val="18"/>
                <w:b/>
              </w:rPr>
              <w:t>□ 提请中国广州仲裁委员会仲裁</w:t>
            </w:r>
          </w:p>
        </w:tc>
        <w:tc>
          <w:tcPr>
            <w:tcW w:type="dxa" w:w="4350"/>
            <w:gridSpan w:val="4"/>
            <w:tcBorders>
              <w:top w:val="single" w:color="000000" w:sz="4"/>
              <w:left w:val="none" w:color="000000" w:sz="4"/>
              <w:bottom w:val="single" w:color="000000" w:sz="4"/>
              <w:right w:val="single" w:color="000000" w:sz="8"/>
            </w:tcBorders>
            <w:shd w:fill="BDD6EE"/>
            <w:tcMar>
              <w:top w:type="dxa" w:w="0"/>
              <w:left w:type="dxa" w:w="0"/>
              <w:bottom w:type="dxa" w:w="0"/>
              <w:right w:type="dxa" w:w="0"/>
            </w:tcMar>
            <w:vAlign w:val="top"/>
          </w:tcPr>
          <w:p>
            <w:pPr>
              <w:pStyle w:val="null3"/>
              <w:jc w:val="center"/>
            </w:pPr>
            <w:r>
              <w:rPr>
                <w:sz w:val="18"/>
                <w:b/>
              </w:rPr>
              <w:t>□ 提交原告所在地人民法院诉讼</w:t>
            </w:r>
          </w:p>
        </w:tc>
      </w:tr>
      <w:tr>
        <w:tc>
          <w:tcPr>
            <w:tcW w:type="dxa" w:w="96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18"/>
                <w:b/>
              </w:rPr>
              <w:t>七、廉洁声明</w:t>
            </w:r>
            <w:r>
              <w:rPr>
                <w:sz w:val="18"/>
                <w:b/>
              </w:rPr>
              <w:t>（可选）</w:t>
            </w:r>
          </w:p>
        </w:tc>
        <w:tc>
          <w:tcPr>
            <w:tcW w:type="dxa" w:w="2990"/>
            <w:gridSpan w:val="2"/>
            <w:tcBorders>
              <w:top w:val="none" w:color="000000" w:sz="4"/>
              <w:left w:val="single" w:color="000000" w:sz="4"/>
              <w:bottom w:val="single" w:color="000000" w:sz="4"/>
              <w:right w:val="single" w:color="000000" w:sz="8"/>
            </w:tcBorders>
            <w:shd w:fill="BDD6EE"/>
            <w:tcMar>
              <w:top w:type="dxa" w:w="0"/>
              <w:left w:type="dxa" w:w="0"/>
              <w:bottom w:type="dxa" w:w="0"/>
              <w:right w:type="dxa" w:w="0"/>
            </w:tcMar>
            <w:vAlign w:val="top"/>
          </w:tcPr>
          <w:p>
            <w:pPr>
              <w:pStyle w:val="null3"/>
              <w:jc w:val="center"/>
            </w:pPr>
            <w:r>
              <w:rPr>
                <w:sz w:val="18"/>
                <w:b/>
              </w:rPr>
              <w:t>□ 设置廉洁声明（附件四）</w:t>
            </w:r>
          </w:p>
        </w:tc>
        <w:tc>
          <w:tcPr>
            <w:tcW w:type="dxa" w:w="4350"/>
            <w:gridSpan w:val="4"/>
            <w:tcBorders>
              <w:top w:val="none" w:color="000000" w:sz="4"/>
              <w:left w:val="none" w:color="000000" w:sz="4"/>
              <w:bottom w:val="single" w:color="000000" w:sz="4"/>
              <w:right w:val="single" w:color="000000" w:sz="8"/>
            </w:tcBorders>
            <w:shd w:fill="BDD6EE"/>
            <w:tcMar>
              <w:top w:type="dxa" w:w="0"/>
              <w:left w:type="dxa" w:w="0"/>
              <w:bottom w:type="dxa" w:w="0"/>
              <w:right w:type="dxa" w:w="0"/>
            </w:tcMar>
            <w:vAlign w:val="top"/>
          </w:tcPr>
          <w:p>
            <w:pPr>
              <w:pStyle w:val="null3"/>
              <w:jc w:val="center"/>
            </w:pPr>
            <w:r>
              <w:rPr>
                <w:sz w:val="18"/>
                <w:b/>
              </w:rPr>
              <w:t xml:space="preserve">□ </w:t>
            </w:r>
            <w:r>
              <w:rPr>
                <w:sz w:val="18"/>
                <w:b/>
              </w:rPr>
              <w:t>不设置廉洁声明</w:t>
            </w:r>
          </w:p>
        </w:tc>
      </w:tr>
      <w:tr>
        <w:tc>
          <w:tcPr>
            <w:tcW w:type="dxa" w:w="8302"/>
            <w:gridSpan w:val="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left"/>
            </w:pPr>
            <w:r>
              <w:rPr>
                <w:sz w:val="18"/>
                <w:b/>
              </w:rPr>
              <w:t>备注：</w:t>
            </w:r>
          </w:p>
          <w:p>
            <w:pPr>
              <w:pStyle w:val="null3"/>
              <w:jc w:val="left"/>
            </w:pPr>
            <w:r>
              <w:rPr>
                <w:sz w:val="18"/>
                <w:b/>
              </w:rPr>
              <w:t>1</w:t>
            </w:r>
            <w:r>
              <w:rPr/>
              <w:t xml:space="preserve"> </w:t>
            </w:r>
            <w:r>
              <w:rPr>
                <w:sz w:val="18"/>
                <w:b/>
              </w:rPr>
              <w:t>兆瓦时等于</w:t>
            </w:r>
            <w:r>
              <w:rPr/>
              <w:t xml:space="preserve"> </w:t>
            </w:r>
            <w:r>
              <w:rPr>
                <w:sz w:val="18"/>
                <w:b/>
              </w:rPr>
              <w:t>1000</w:t>
            </w:r>
            <w:r>
              <w:rPr/>
              <w:t xml:space="preserve"> </w:t>
            </w:r>
            <w:r>
              <w:rPr>
                <w:sz w:val="18"/>
                <w:b/>
              </w:rPr>
              <w:t>千瓦时，</w:t>
            </w:r>
            <w:r>
              <w:rPr>
                <w:sz w:val="18"/>
                <w:b/>
              </w:rPr>
              <w:t>100</w:t>
            </w:r>
            <w:r>
              <w:rPr/>
              <w:t xml:space="preserve"> </w:t>
            </w:r>
            <w:r>
              <w:rPr>
                <w:sz w:val="18"/>
                <w:b/>
              </w:rPr>
              <w:t>元</w:t>
            </w:r>
            <w:r>
              <w:rPr>
                <w:sz w:val="18"/>
                <w:b/>
              </w:rPr>
              <w:t>/兆瓦时等于</w:t>
            </w:r>
            <w:r>
              <w:rPr/>
              <w:t xml:space="preserve"> </w:t>
            </w:r>
            <w:r>
              <w:rPr>
                <w:sz w:val="18"/>
                <w:b/>
              </w:rPr>
              <w:t>0.1</w:t>
            </w:r>
            <w:r>
              <w:rPr/>
              <w:t xml:space="preserve"> </w:t>
            </w:r>
            <w:r>
              <w:rPr>
                <w:sz w:val="18"/>
                <w:b/>
              </w:rPr>
              <w:t>元</w:t>
            </w:r>
            <w:r>
              <w:rPr>
                <w:sz w:val="18"/>
                <w:b/>
              </w:rPr>
              <w:t>/千瓦时。</w:t>
            </w:r>
          </w:p>
          <w:p>
            <w:pPr>
              <w:pStyle w:val="null3"/>
              <w:jc w:val="left"/>
            </w:pPr>
            <w:r>
              <w:rPr>
                <w:sz w:val="18"/>
                <w:b/>
              </w:rPr>
              <w:t>2.固定价格模式“合同约定的电量比例</w:t>
            </w:r>
            <w:r>
              <w:rPr/>
              <w:t xml:space="preserve"> </w:t>
            </w:r>
            <w:r>
              <w:rPr>
                <w:sz w:val="18"/>
                <w:b/>
              </w:rPr>
              <w:t>”占比为</w:t>
            </w:r>
            <w:r>
              <w:rPr/>
              <w:t xml:space="preserve"> </w:t>
            </w:r>
            <w:r>
              <w:rPr>
                <w:sz w:val="18"/>
                <w:b/>
              </w:rPr>
              <w:t>70-90%之间。</w:t>
            </w:r>
          </w:p>
          <w:p>
            <w:pPr>
              <w:pStyle w:val="null3"/>
              <w:jc w:val="left"/>
            </w:pPr>
            <w:r>
              <w:rPr>
                <w:sz w:val="18"/>
                <w:b/>
              </w:rPr>
              <w:t>3.固定平段价格上限为</w:t>
            </w:r>
            <w:r>
              <w:rPr/>
              <w:t xml:space="preserve"> </w:t>
            </w:r>
            <w:r>
              <w:rPr>
                <w:sz w:val="18"/>
                <w:b/>
              </w:rPr>
              <w:t>554</w:t>
            </w:r>
            <w:r>
              <w:rPr/>
              <w:t xml:space="preserve"> </w:t>
            </w:r>
            <w:r>
              <w:rPr>
                <w:sz w:val="18"/>
                <w:b/>
              </w:rPr>
              <w:t>元</w:t>
            </w:r>
            <w:r>
              <w:rPr>
                <w:sz w:val="18"/>
                <w:b/>
              </w:rPr>
              <w:t>/兆瓦时，下限为</w:t>
            </w:r>
            <w:r>
              <w:rPr/>
              <w:t xml:space="preserve"> </w:t>
            </w:r>
            <w:r>
              <w:rPr>
                <w:sz w:val="18"/>
                <w:b/>
              </w:rPr>
              <w:t>372</w:t>
            </w:r>
            <w:r>
              <w:rPr/>
              <w:t xml:space="preserve"> </w:t>
            </w:r>
            <w:r>
              <w:rPr>
                <w:sz w:val="18"/>
                <w:b/>
              </w:rPr>
              <w:t>元</w:t>
            </w:r>
            <w:r>
              <w:rPr>
                <w:sz w:val="18"/>
                <w:b/>
              </w:rPr>
              <w:t>/兆瓦时，按照签约时点广东电力零售市场最</w:t>
            </w:r>
            <w:r>
              <w:rPr>
                <w:sz w:val="18"/>
                <w:b/>
              </w:rPr>
              <w:t>新参数限值要求执</w:t>
            </w:r>
            <w:r>
              <w:rPr>
                <w:sz w:val="18"/>
                <w:b/>
              </w:rPr>
              <w:t>行。</w:t>
            </w:r>
          </w:p>
          <w:p>
            <w:pPr>
              <w:pStyle w:val="null3"/>
              <w:jc w:val="left"/>
            </w:pPr>
            <w:r>
              <w:rPr>
                <w:sz w:val="18"/>
                <w:b/>
              </w:rPr>
              <w:t>4.市场联动价格“合同约定的电量比例</w:t>
            </w:r>
            <w:r>
              <w:rPr/>
              <w:t xml:space="preserve"> </w:t>
            </w:r>
            <w:r>
              <w:rPr>
                <w:sz w:val="18"/>
                <w:b/>
              </w:rPr>
              <w:t>”占比之和为</w:t>
            </w:r>
            <w:r>
              <w:rPr/>
              <w:t xml:space="preserve"> </w:t>
            </w:r>
            <w:r>
              <w:rPr>
                <w:sz w:val="18"/>
                <w:b/>
              </w:rPr>
              <w:t>10-30%之间，</w:t>
            </w:r>
            <w:r>
              <w:rPr>
                <w:sz w:val="18"/>
                <w:b/>
              </w:rPr>
              <w:t>其中现货市场联动价格的</w:t>
            </w:r>
            <w:r>
              <w:rPr>
                <w:sz w:val="18"/>
                <w:b/>
              </w:rPr>
              <w:t>“合同约定的电量比例</w:t>
            </w:r>
            <w:r>
              <w:rPr/>
              <w:t xml:space="preserve"> </w:t>
            </w:r>
            <w:r>
              <w:rPr>
                <w:sz w:val="18"/>
                <w:b/>
              </w:rPr>
              <w:t>”</w:t>
            </w:r>
            <w:r>
              <w:rPr>
                <w:sz w:val="18"/>
                <w:b/>
              </w:rPr>
              <w:t>占比为</w:t>
            </w:r>
            <w:r>
              <w:rPr/>
              <w:t xml:space="preserve"> </w:t>
            </w:r>
            <w:r>
              <w:rPr>
                <w:sz w:val="18"/>
                <w:b/>
              </w:rPr>
              <w:t>8-15%之间。市场联动“合同约定的电量</w:t>
            </w:r>
            <w:r>
              <w:rPr>
                <w:sz w:val="18"/>
                <w:b/>
              </w:rPr>
              <w:t>比例</w:t>
            </w:r>
            <w:r>
              <w:rPr/>
              <w:t xml:space="preserve"> </w:t>
            </w:r>
            <w:r>
              <w:rPr>
                <w:sz w:val="18"/>
                <w:b/>
              </w:rPr>
              <w:t>”与固定价格“合同约定的电量比例</w:t>
            </w:r>
            <w:r>
              <w:rPr/>
              <w:t xml:space="preserve"> </w:t>
            </w:r>
            <w:r>
              <w:rPr>
                <w:sz w:val="18"/>
                <w:b/>
              </w:rPr>
              <w:t>”两者之和需等于</w:t>
            </w:r>
            <w:r>
              <w:rPr/>
              <w:t xml:space="preserve"> </w:t>
            </w:r>
            <w:r>
              <w:rPr>
                <w:sz w:val="18"/>
                <w:b/>
              </w:rPr>
              <w:t>100%。</w:t>
            </w:r>
          </w:p>
          <w:p>
            <w:pPr>
              <w:pStyle w:val="null3"/>
              <w:jc w:val="left"/>
            </w:pPr>
            <w:r>
              <w:rPr>
                <w:sz w:val="18"/>
                <w:b/>
              </w:rPr>
              <w:t>5.煤电联动浮动单价范围为</w:t>
            </w:r>
            <w:r>
              <w:rPr/>
              <w:t xml:space="preserve"> </w:t>
            </w:r>
            <w:r>
              <w:rPr>
                <w:sz w:val="18"/>
                <w:b/>
              </w:rPr>
              <w:t>0-50</w:t>
            </w:r>
            <w:r>
              <w:rPr/>
              <w:t xml:space="preserve"> </w:t>
            </w:r>
            <w:r>
              <w:rPr>
                <w:sz w:val="18"/>
                <w:b/>
              </w:rPr>
              <w:t>元</w:t>
            </w:r>
            <w:r>
              <w:rPr>
                <w:sz w:val="18"/>
                <w:b/>
              </w:rPr>
              <w:t>/兆瓦时。</w:t>
            </w:r>
          </w:p>
        </w:tc>
      </w:tr>
    </w:tbl>
    <w:p>
      <w:pPr>
        <w:pStyle w:val="null3"/>
      </w:pPr>
      <w:r>
        <w:rPr>
          <w:sz w:val="32"/>
          <w:b/>
        </w:rPr>
        <w:t>附件二</w:t>
      </w:r>
      <w:r>
        <w:rPr>
          <w:sz w:val="32"/>
          <w:b/>
        </w:rPr>
        <w:t>电能量零售交易套餐模式说明</w:t>
      </w:r>
    </w:p>
    <w:p>
      <w:pPr>
        <w:pStyle w:val="null3"/>
        <w:ind w:firstLine="404"/>
        <w:jc w:val="both"/>
      </w:pPr>
      <w:r>
        <w:rPr>
          <w:sz w:val="21"/>
        </w:rPr>
        <w:t>以下对电能量零售交易套餐模式进行综合性说明，如后续市场政</w:t>
      </w:r>
      <w:r>
        <w:rPr>
          <w:sz w:val="21"/>
        </w:rPr>
        <w:t>策及规则发</w:t>
      </w:r>
      <w:r>
        <w:rPr>
          <w:sz w:val="21"/>
        </w:rPr>
        <w:t>生调整，相关计算方式作相应调整。</w:t>
      </w:r>
    </w:p>
    <w:p>
      <w:pPr>
        <w:pStyle w:val="null3"/>
        <w:numPr>
          <w:ilvl w:val="0"/>
          <w:numId w:val="1"/>
        </w:numPr>
        <w:jc w:val="both"/>
      </w:pPr>
      <w:r>
        <w:rPr>
          <w:sz w:val="21"/>
          <w:b/>
        </w:rPr>
        <w:t>固定价格模式（必选条款）</w:t>
      </w:r>
    </w:p>
    <w:p>
      <w:pPr>
        <w:pStyle w:val="null3"/>
        <w:ind w:firstLine="400"/>
        <w:jc w:val="both"/>
      </w:pPr>
      <w:r>
        <w:rPr>
          <w:sz w:val="21"/>
        </w:rPr>
        <w:t>固定价格电费</w:t>
      </w:r>
      <w:r>
        <w:rPr>
          <w:sz w:val="21"/>
        </w:rPr>
        <w:t>=用户（峰/平/谷）实际用电量×合同约定的固定价格电量比例×合同约定的固定（峰/平/谷）价格</w:t>
      </w:r>
    </w:p>
    <w:p>
      <w:pPr>
        <w:pStyle w:val="null3"/>
        <w:ind w:firstLine="400"/>
        <w:jc w:val="both"/>
      </w:pPr>
      <w:r>
        <w:rPr>
          <w:sz w:val="21"/>
        </w:rPr>
        <w:t>其中：峰（谷）价格</w:t>
      </w:r>
      <w:r>
        <w:rPr>
          <w:sz w:val="21"/>
        </w:rPr>
        <w:t>=平段价格×峰（谷）系数</w:t>
      </w:r>
    </w:p>
    <w:p>
      <w:pPr>
        <w:pStyle w:val="null3"/>
        <w:ind w:firstLine="400"/>
        <w:jc w:val="both"/>
      </w:pPr>
      <w:r>
        <w:rPr>
          <w:sz w:val="21"/>
        </w:rPr>
        <w:t>（</w:t>
      </w:r>
      <w:r>
        <w:rPr>
          <w:sz w:val="21"/>
        </w:rPr>
        <w:t>1 ）电量比例</w:t>
      </w:r>
    </w:p>
    <w:p>
      <w:pPr>
        <w:pStyle w:val="null3"/>
        <w:ind w:firstLine="400"/>
        <w:jc w:val="both"/>
      </w:pPr>
      <w:r>
        <w:rPr>
          <w:sz w:val="21"/>
        </w:rPr>
        <w:t>固定价格模式</w:t>
      </w:r>
      <w:r>
        <w:rPr>
          <w:sz w:val="21"/>
        </w:rPr>
        <w:t>“合同约定的电量比例”占比为70-90%之间。具体数值范围按签约时点政府主管部门最新发布参数限值要求执行。</w:t>
      </w:r>
    </w:p>
    <w:p>
      <w:pPr>
        <w:pStyle w:val="null3"/>
        <w:ind w:firstLine="400"/>
        <w:jc w:val="both"/>
      </w:pPr>
      <w:r>
        <w:rPr>
          <w:sz w:val="21"/>
        </w:rPr>
        <w:t>固定价格</w:t>
      </w:r>
      <w:r>
        <w:rPr>
          <w:sz w:val="21"/>
        </w:rPr>
        <w:t>“合同约定的电量比例”与附件一第二点市场联动“合同约定的电量比例”两者之和需等于 100%。</w:t>
      </w:r>
    </w:p>
    <w:p>
      <w:pPr>
        <w:pStyle w:val="null3"/>
        <w:ind w:firstLine="400"/>
        <w:jc w:val="both"/>
      </w:pPr>
      <w:r>
        <w:rPr>
          <w:sz w:val="21"/>
        </w:rPr>
        <w:t>（</w:t>
      </w:r>
      <w:r>
        <w:rPr>
          <w:sz w:val="21"/>
        </w:rPr>
        <w:t>2）价格范围</w:t>
      </w:r>
    </w:p>
    <w:p>
      <w:pPr>
        <w:pStyle w:val="null3"/>
        <w:ind w:firstLine="400"/>
        <w:jc w:val="both"/>
      </w:pPr>
      <w:r>
        <w:rPr>
          <w:sz w:val="21"/>
        </w:rPr>
        <w:t>平段价格上限为</w:t>
      </w:r>
      <w:r>
        <w:rPr>
          <w:sz w:val="21"/>
        </w:rPr>
        <w:t>554元/兆瓦时，下限为372元/兆瓦时。具体数值范围按签约时点政府主管部门最新发布的参数限值要求执行。</w:t>
      </w:r>
    </w:p>
    <w:p>
      <w:pPr>
        <w:pStyle w:val="null3"/>
        <w:ind w:firstLine="400"/>
        <w:jc w:val="both"/>
      </w:pPr>
      <w:r>
        <w:rPr>
          <w:sz w:val="21"/>
        </w:rPr>
        <w:t>（</w:t>
      </w:r>
      <w:r>
        <w:rPr>
          <w:sz w:val="21"/>
        </w:rPr>
        <w:t>3 ）峰谷比价</w:t>
      </w:r>
    </w:p>
    <w:p>
      <w:pPr>
        <w:pStyle w:val="null3"/>
        <w:ind w:firstLine="400"/>
        <w:jc w:val="both"/>
      </w:pPr>
      <w:r>
        <w:rPr>
          <w:sz w:val="21"/>
        </w:rPr>
        <w:t>峰谷分时用户（计量点）须执行峰谷价格，非峰谷分时用户（计量点）仅执行平段价格。峰谷电价按对应的比价关系和用户计量点所在地区执行。其中广东省内（含增量配网，不含深圳）计量点峰谷电价比例：</w:t>
      </w:r>
      <w:r>
        <w:rPr>
          <w:sz w:val="21"/>
        </w:rPr>
        <w:t>1.7:1:0.38；深圳（含增量配网）计量点峰谷电价比例：1.53:1:0.32 ，深圳（含增量配网）低压计量点峰谷电价比例：1.3553:1:0.2894；广东省内（含深圳，含增量配网）冰蓄冷计量点峰</w:t>
      </w:r>
    </w:p>
    <w:p>
      <w:pPr>
        <w:pStyle w:val="null3"/>
        <w:ind w:firstLine="400"/>
        <w:jc w:val="both"/>
      </w:pPr>
      <w:r>
        <w:rPr>
          <w:sz w:val="21"/>
        </w:rPr>
        <w:t>谷电价比例：</w:t>
      </w:r>
      <w:r>
        <w:rPr>
          <w:sz w:val="21"/>
        </w:rPr>
        <w:t>1.65:1:0.25。</w:t>
      </w:r>
    </w:p>
    <w:p>
      <w:pPr>
        <w:pStyle w:val="null3"/>
        <w:ind w:firstLine="402"/>
        <w:jc w:val="both"/>
      </w:pPr>
      <w:r>
        <w:rPr>
          <w:sz w:val="21"/>
          <w:b/>
        </w:rPr>
        <w:t>2.市场联动模式（ 必选条款）</w:t>
      </w:r>
    </w:p>
    <w:p>
      <w:pPr>
        <w:pStyle w:val="null3"/>
        <w:ind w:firstLine="400"/>
        <w:jc w:val="both"/>
      </w:pPr>
      <w:r>
        <w:rPr>
          <w:sz w:val="21"/>
        </w:rPr>
        <w:t>（</w:t>
      </w:r>
      <w:r>
        <w:rPr>
          <w:sz w:val="21"/>
        </w:rPr>
        <w:t>1 ）联动月度价格电费=用户（峰/平/谷）实际用电量×合同约定的联动月度价格电量比例×合同约定的联动月度（峰/平/谷）价格</w:t>
      </w:r>
    </w:p>
    <w:p>
      <w:pPr>
        <w:pStyle w:val="null3"/>
        <w:ind w:firstLine="400"/>
        <w:jc w:val="both"/>
      </w:pPr>
      <w:r>
        <w:rPr>
          <w:sz w:val="21"/>
        </w:rPr>
        <w:t>其中：峰（谷）价格</w:t>
      </w:r>
      <w:r>
        <w:rPr>
          <w:sz w:val="21"/>
        </w:rPr>
        <w:t>=平段价格×峰（谷）系数，联动月度价格可选项为：月度集中竞争交易综合价、月度中长期交易综合价。具体定义及计算方法详见本合同附件三名词解释第 7 、8 条。</w:t>
      </w:r>
    </w:p>
    <w:p>
      <w:pPr>
        <w:pStyle w:val="null3"/>
        <w:ind w:firstLine="400"/>
        <w:jc w:val="both"/>
      </w:pPr>
      <w:r>
        <w:rPr>
          <w:sz w:val="21"/>
        </w:rPr>
        <w:t>（</w:t>
      </w:r>
      <w:r>
        <w:rPr>
          <w:sz w:val="21"/>
        </w:rPr>
        <w:t>2）联动现货价格电费=用户（峰/平/谷）实际用电量×合同约定的联动现货价格电量比例×合同约定的联动现货（峰/平/谷）价格</w:t>
      </w:r>
    </w:p>
    <w:p>
      <w:pPr>
        <w:pStyle w:val="null3"/>
        <w:ind w:firstLine="400"/>
        <w:jc w:val="both"/>
      </w:pPr>
      <w:r>
        <w:rPr>
          <w:sz w:val="21"/>
        </w:rPr>
        <w:t>其中：峰（谷）价格</w:t>
      </w:r>
      <w:r>
        <w:rPr>
          <w:sz w:val="21"/>
        </w:rPr>
        <w:t>=平段价格×峰（谷）系数，联动现货价格为： 日前市场月度加权平均综合价。具体定义及计算方法详见本合同附件三名词解释第 9条。</w:t>
      </w:r>
    </w:p>
    <w:p>
      <w:pPr>
        <w:pStyle w:val="null3"/>
        <w:ind w:firstLine="400"/>
        <w:jc w:val="both"/>
      </w:pPr>
      <w:r>
        <w:rPr>
          <w:sz w:val="21"/>
        </w:rPr>
        <w:t>（</w:t>
      </w:r>
      <w:r>
        <w:rPr>
          <w:sz w:val="21"/>
        </w:rPr>
        <w:t>3 ）模式选择</w:t>
      </w:r>
    </w:p>
    <w:p>
      <w:pPr>
        <w:pStyle w:val="null3"/>
        <w:ind w:firstLine="400"/>
        <w:jc w:val="both"/>
      </w:pPr>
      <w:r>
        <w:rPr>
          <w:sz w:val="21"/>
        </w:rPr>
        <w:t>选择联动月度价格的经营主体可在月度集中竞争交易综合价和月度中长期交易综合价中二选一，选择联动现货价格模式的经营主体所联动价格为日前市场月度加权平均综合价。</w:t>
      </w:r>
    </w:p>
    <w:p>
      <w:pPr>
        <w:pStyle w:val="null3"/>
        <w:ind w:firstLine="400"/>
        <w:jc w:val="both"/>
      </w:pPr>
      <w:r>
        <w:rPr>
          <w:sz w:val="21"/>
        </w:rPr>
        <w:t>（</w:t>
      </w:r>
      <w:r>
        <w:rPr>
          <w:sz w:val="21"/>
        </w:rPr>
        <w:t>4）电量比例</w:t>
      </w:r>
    </w:p>
    <w:p>
      <w:pPr>
        <w:pStyle w:val="null3"/>
        <w:ind w:firstLine="400"/>
        <w:jc w:val="both"/>
      </w:pPr>
      <w:r>
        <w:rPr>
          <w:sz w:val="21"/>
        </w:rPr>
        <w:t>联动现货价格的</w:t>
      </w:r>
      <w:r>
        <w:rPr>
          <w:sz w:val="21"/>
        </w:rPr>
        <w:t>“合同约定的电量比例”占比为8-15%之间，市场联动价格“合同约定的电量比例”占比之和为10-30%之间。具体数值范围按签约时点政府主管部门最新发布的参数限值要求执行。</w:t>
      </w:r>
    </w:p>
    <w:p>
      <w:pPr>
        <w:pStyle w:val="null3"/>
        <w:ind w:firstLine="400"/>
        <w:jc w:val="both"/>
      </w:pPr>
      <w:r>
        <w:rPr>
          <w:sz w:val="21"/>
        </w:rPr>
        <w:t>市场联动</w:t>
      </w:r>
      <w:r>
        <w:rPr>
          <w:sz w:val="21"/>
        </w:rPr>
        <w:t>“合同约定的电量比例”与附件一第一点固定价格“合同约定的电量比例”两者之和需等于100%。</w:t>
      </w:r>
    </w:p>
    <w:p>
      <w:pPr>
        <w:pStyle w:val="null3"/>
        <w:ind w:firstLine="400"/>
        <w:jc w:val="both"/>
      </w:pPr>
      <w:r>
        <w:rPr>
          <w:sz w:val="21"/>
        </w:rPr>
        <w:t>（</w:t>
      </w:r>
      <w:r>
        <w:rPr>
          <w:sz w:val="21"/>
        </w:rPr>
        <w:t>5 ）峰谷比价</w:t>
      </w:r>
    </w:p>
    <w:p>
      <w:pPr>
        <w:pStyle w:val="null3"/>
        <w:ind w:firstLine="400"/>
        <w:jc w:val="both"/>
      </w:pPr>
      <w:r>
        <w:rPr>
          <w:sz w:val="21"/>
        </w:rPr>
        <w:t>“联动价格部分”的峰谷比价与本附件第1点“固定价格部分”的峰谷比价相同。</w:t>
      </w:r>
    </w:p>
    <w:p>
      <w:pPr>
        <w:pStyle w:val="null3"/>
        <w:ind w:firstLine="402"/>
        <w:jc w:val="both"/>
      </w:pPr>
      <w:r>
        <w:rPr>
          <w:sz w:val="21"/>
          <w:b/>
        </w:rPr>
        <w:t>3.煤电联动（可选条款）</w:t>
      </w:r>
    </w:p>
    <w:p>
      <w:pPr>
        <w:pStyle w:val="null3"/>
        <w:ind w:firstLine="400"/>
        <w:jc w:val="both"/>
      </w:pPr>
      <w:r>
        <w:rPr>
          <w:sz w:val="21"/>
        </w:rPr>
        <w:t>煤电联动电费</w:t>
      </w:r>
      <w:r>
        <w:rPr>
          <w:sz w:val="21"/>
        </w:rPr>
        <w:t>=合同约定固定价格部分（峰/平/谷）电量×（结算月CECI 价格指数-合同签约月CECI价格指数）/100（向零取整）×合同约定的煤电联动（峰/平/谷）浮动单价</w:t>
      </w:r>
    </w:p>
    <w:p>
      <w:pPr>
        <w:pStyle w:val="null3"/>
        <w:ind w:firstLine="400"/>
        <w:jc w:val="both"/>
      </w:pPr>
      <w:r>
        <w:rPr>
          <w:sz w:val="21"/>
        </w:rPr>
        <w:t>例：签订月份</w:t>
      </w:r>
      <w:r>
        <w:rPr>
          <w:sz w:val="21"/>
        </w:rPr>
        <w:t>CECI 价格指数为 1000 元/吨，结算月 CECI 价格指数为 901元/吨，煤炭联动基准值为 901-1000=-99，当月指数未超过基准值 100 元/吨，本月煤炭联动不需计算浮动费用。</w:t>
      </w:r>
    </w:p>
    <w:p>
      <w:pPr>
        <w:pStyle w:val="null3"/>
        <w:ind w:firstLine="400"/>
        <w:jc w:val="both"/>
      </w:pPr>
      <w:r>
        <w:rPr>
          <w:sz w:val="21"/>
        </w:rPr>
        <w:t>其中，煤电联动峰（谷）浮动单价</w:t>
      </w:r>
      <w:r>
        <w:rPr>
          <w:sz w:val="21"/>
        </w:rPr>
        <w:t>=煤电联动平段浮动单价×峰（谷）系数</w:t>
      </w:r>
    </w:p>
    <w:p>
      <w:pPr>
        <w:pStyle w:val="null3"/>
        <w:ind w:firstLine="400"/>
        <w:jc w:val="both"/>
      </w:pPr>
      <w:r>
        <w:rPr>
          <w:sz w:val="21"/>
        </w:rPr>
        <w:t>结算月</w:t>
      </w:r>
      <w:r>
        <w:rPr>
          <w:sz w:val="21"/>
        </w:rPr>
        <w:t>CECI 价格指数与合同签约月CECI 价格指数均为对应月份 CECI 沿海指数成交价(5500kcal/kg</w:t>
      </w:r>
      <w:r>
        <w:rPr>
          <w:sz w:val="21"/>
        </w:rPr>
        <w:t>）</w:t>
      </w:r>
      <w:r>
        <w:rPr>
          <w:sz w:val="21"/>
        </w:rPr>
        <w:t xml:space="preserve"> </w:t>
      </w:r>
      <w:r>
        <w:rPr>
          <w:sz w:val="21"/>
        </w:rPr>
        <w:t>，</w:t>
      </w:r>
      <w:r>
        <w:rPr>
          <w:sz w:val="21"/>
        </w:rPr>
        <w:t>CECI 价格指数具体定义及计算方法详见本合同附件三名词解释第 11 条。</w:t>
      </w:r>
    </w:p>
    <w:p>
      <w:pPr>
        <w:pStyle w:val="null3"/>
        <w:ind w:firstLine="400"/>
        <w:jc w:val="both"/>
      </w:pPr>
      <w:r>
        <w:rPr>
          <w:sz w:val="21"/>
        </w:rPr>
        <w:t>（</w:t>
      </w:r>
      <w:r>
        <w:rPr>
          <w:sz w:val="21"/>
        </w:rPr>
        <w:t>1 ）模式选择</w:t>
      </w:r>
    </w:p>
    <w:p>
      <w:pPr>
        <w:pStyle w:val="null3"/>
        <w:ind w:firstLine="400"/>
        <w:jc w:val="both"/>
      </w:pPr>
      <w:r>
        <w:rPr>
          <w:sz w:val="21"/>
        </w:rPr>
        <w:t>煤电联动为可选项，参与峰谷电价。如确认选择煤电联动条款后，甲乙双方电能量交易价格随煤电价格上下浮动。</w:t>
      </w:r>
    </w:p>
    <w:p>
      <w:pPr>
        <w:pStyle w:val="null3"/>
        <w:ind w:firstLine="400"/>
        <w:jc w:val="both"/>
      </w:pPr>
      <w:r>
        <w:rPr>
          <w:sz w:val="21"/>
        </w:rPr>
        <w:t>（</w:t>
      </w:r>
      <w:r>
        <w:rPr>
          <w:sz w:val="21"/>
        </w:rPr>
        <w:t>2）价格范围</w:t>
      </w:r>
    </w:p>
    <w:p>
      <w:pPr>
        <w:pStyle w:val="null3"/>
        <w:ind w:firstLine="400"/>
        <w:jc w:val="both"/>
      </w:pPr>
      <w:r>
        <w:rPr>
          <w:sz w:val="21"/>
        </w:rPr>
        <w:t>煤电联动价格叠加固定价格部分平段结算价格后，须介于政府对结算月所在年度最终发布的平段价格上下限值之间。如叠加后超出上述范围时，煤电联动价格取政府对结算月所在年度最终发布的平段价格限值（叠加后，超出上限值则取上限值；低于下限值，则取下限值。）与固定价格部分平段结算价格之差。</w:t>
      </w:r>
    </w:p>
    <w:p>
      <w:pPr>
        <w:pStyle w:val="null3"/>
        <w:ind w:firstLine="400"/>
        <w:jc w:val="both"/>
      </w:pPr>
      <w:r>
        <w:rPr>
          <w:sz w:val="21"/>
        </w:rPr>
        <w:t>浮动单价范围为</w:t>
      </w:r>
      <w:r>
        <w:rPr>
          <w:sz w:val="21"/>
        </w:rPr>
        <w:t>0-50 元/兆瓦时。</w:t>
      </w:r>
    </w:p>
    <w:p>
      <w:pPr>
        <w:pStyle w:val="null3"/>
        <w:ind w:firstLine="400"/>
        <w:jc w:val="both"/>
      </w:pPr>
      <w:r>
        <w:rPr>
          <w:sz w:val="21"/>
        </w:rPr>
        <w:t>（</w:t>
      </w:r>
      <w:r>
        <w:rPr>
          <w:sz w:val="21"/>
        </w:rPr>
        <w:t>3 ）峰谷比价</w:t>
      </w:r>
    </w:p>
    <w:p>
      <w:pPr>
        <w:pStyle w:val="null3"/>
        <w:ind w:firstLine="400"/>
        <w:jc w:val="both"/>
      </w:pPr>
      <w:r>
        <w:rPr>
          <w:sz w:val="21"/>
        </w:rPr>
        <w:t>“煤电联动部分”的峰谷比价与本附件第 1 点“ 固定价格部分”的峰谷比价相同。</w:t>
      </w:r>
    </w:p>
    <w:p>
      <w:pPr>
        <w:pStyle w:val="null3"/>
        <w:ind w:firstLine="402"/>
        <w:jc w:val="both"/>
      </w:pPr>
      <w:r>
        <w:rPr>
          <w:sz w:val="21"/>
          <w:b/>
        </w:rPr>
        <w:t>4.市场风控条款</w:t>
      </w:r>
    </w:p>
    <w:p>
      <w:pPr>
        <w:pStyle w:val="null3"/>
        <w:ind w:firstLine="400"/>
        <w:jc w:val="both"/>
      </w:pPr>
      <w:r>
        <w:rPr>
          <w:sz w:val="21"/>
        </w:rPr>
        <w:t>为防范市场风险，</w:t>
      </w:r>
      <w:r>
        <w:rPr>
          <w:sz w:val="21"/>
        </w:rPr>
        <w:t>当结算月份甲方平段电量结算价较结算月批发均价超过</w:t>
      </w:r>
      <w:r>
        <w:rPr>
          <w:sz w:val="21"/>
        </w:rPr>
        <w:t>15%或低于 20%时，双方执行超额电费共担条款，且当结算月份甲方平段电量结算价较结算月批发均价超过 15%时，甲方有权在行权期限前单方解除本合同。具体如下：</w:t>
      </w:r>
    </w:p>
    <w:p>
      <w:pPr>
        <w:pStyle w:val="null3"/>
        <w:ind w:firstLine="400"/>
        <w:jc w:val="both"/>
      </w:pPr>
      <w:r>
        <w:rPr>
          <w:sz w:val="21"/>
        </w:rPr>
        <w:t>（一）超额电费共担条款：</w:t>
      </w:r>
    </w:p>
    <w:p>
      <w:pPr>
        <w:pStyle w:val="null3"/>
        <w:ind w:firstLine="400"/>
        <w:jc w:val="both"/>
      </w:pPr>
      <w:r>
        <w:rPr>
          <w:sz w:val="21"/>
        </w:rPr>
        <w:t>甲方平段电量结算价格高于结算月批发均价</w:t>
      </w:r>
      <w:r>
        <w:rPr>
          <w:sz w:val="21"/>
        </w:rPr>
        <w:t>15%，甲方用电量的平段单价按照结算月批发均价的 115%进行计算。具体公式如下：</w:t>
      </w:r>
    </w:p>
    <w:p>
      <w:pPr>
        <w:pStyle w:val="null3"/>
        <w:ind w:firstLine="400"/>
        <w:jc w:val="both"/>
      </w:pPr>
      <w:r>
        <w:rPr>
          <w:sz w:val="21"/>
        </w:rPr>
        <w:t>触发超额上限电费共担条款用户电费</w:t>
      </w:r>
      <w:r>
        <w:rPr>
          <w:sz w:val="21"/>
        </w:rPr>
        <w:t>=用户（峰/平/谷）实际用电量×结算月批发均价（峰/平/谷）价格×1.15</w:t>
      </w:r>
    </w:p>
    <w:p>
      <w:pPr>
        <w:pStyle w:val="null3"/>
        <w:ind w:firstLine="400"/>
        <w:jc w:val="both"/>
      </w:pPr>
      <w:r>
        <w:rPr>
          <w:sz w:val="21"/>
        </w:rPr>
        <w:t>其中：结算月批发均价峰（谷）价格</w:t>
      </w:r>
      <w:r>
        <w:rPr>
          <w:sz w:val="21"/>
        </w:rPr>
        <w:t>=结算月批发均价×峰（谷）系数</w:t>
      </w:r>
    </w:p>
    <w:p>
      <w:pPr>
        <w:pStyle w:val="null3"/>
        <w:ind w:firstLine="400"/>
        <w:jc w:val="both"/>
      </w:pPr>
      <w:r>
        <w:rPr>
          <w:sz w:val="21"/>
        </w:rPr>
        <w:t>甲方平段电量结算价格低于结算月批发均价</w:t>
      </w:r>
      <w:r>
        <w:rPr>
          <w:sz w:val="21"/>
        </w:rPr>
        <w:t>20%，甲方用电量的平段单价按照结算月批发均价的 80%进行计算。具体公式如下：</w:t>
      </w:r>
    </w:p>
    <w:p>
      <w:pPr>
        <w:pStyle w:val="null3"/>
        <w:ind w:firstLine="400"/>
        <w:jc w:val="both"/>
      </w:pPr>
      <w:r>
        <w:rPr>
          <w:sz w:val="21"/>
        </w:rPr>
        <w:t>触发超额下限电费共担条款用户电费</w:t>
      </w:r>
      <w:r>
        <w:rPr>
          <w:sz w:val="21"/>
        </w:rPr>
        <w:t>=用户（峰/平/谷）实际用电量×结算月批发均价（峰/平/谷）平均价×0.80</w:t>
      </w:r>
    </w:p>
    <w:p>
      <w:pPr>
        <w:pStyle w:val="null3"/>
        <w:ind w:firstLine="400"/>
        <w:jc w:val="both"/>
      </w:pPr>
      <w:r>
        <w:rPr>
          <w:sz w:val="21"/>
        </w:rPr>
        <w:t>其中：结算月批发均价峰（谷）价格</w:t>
      </w:r>
      <w:r>
        <w:rPr>
          <w:sz w:val="21"/>
        </w:rPr>
        <w:t>=结算月批发均价×峰（谷）系数</w:t>
      </w:r>
    </w:p>
    <w:p>
      <w:pPr>
        <w:pStyle w:val="null3"/>
        <w:ind w:firstLine="400"/>
        <w:jc w:val="both"/>
      </w:pPr>
      <w:r>
        <w:rPr>
          <w:sz w:val="21"/>
        </w:rPr>
        <w:t>“市场风控条款”的峰谷比价与本附件第 1 点“固定价格部分”的峰谷比价相同。</w:t>
      </w:r>
    </w:p>
    <w:p>
      <w:pPr>
        <w:pStyle w:val="null3"/>
        <w:ind w:firstLine="400"/>
        <w:jc w:val="both"/>
      </w:pPr>
      <w:r>
        <w:rPr>
          <w:sz w:val="21"/>
        </w:rPr>
        <w:t>（</w:t>
      </w:r>
      <w:r>
        <w:rPr>
          <w:sz w:val="21"/>
        </w:rPr>
        <w:t>二）单方解约条款：</w:t>
      </w:r>
    </w:p>
    <w:p>
      <w:pPr>
        <w:pStyle w:val="null3"/>
        <w:ind w:firstLine="400"/>
        <w:jc w:val="both"/>
      </w:pPr>
      <w:r>
        <w:rPr>
          <w:sz w:val="21"/>
        </w:rPr>
        <w:t>当甲方平段电量结算价格高于结算月批发均价</w:t>
      </w:r>
      <w:r>
        <w:rPr>
          <w:sz w:val="21"/>
        </w:rPr>
        <w:t>15%时，甲方有权解除本合同，</w:t>
      </w:r>
    </w:p>
    <w:p>
      <w:pPr>
        <w:pStyle w:val="null3"/>
        <w:ind w:firstLine="400"/>
        <w:jc w:val="both"/>
      </w:pPr>
      <w:r>
        <w:rPr>
          <w:sz w:val="21"/>
        </w:rPr>
        <w:t>甲方应于每月</w:t>
      </w:r>
      <w:r>
        <w:rPr>
          <w:sz w:val="21"/>
        </w:rPr>
        <w:t>20 日前行使解除权；上述解除权行使期限为自交易中心发布结算月批发均价次日起 60 日内；合同解除的生效日期为甲方行使解除权的次月 1 日开始，生效日前双方应按合同约定履行完毕各自的权利与义务，生效日后的有关损失和后果由双方各自</w:t>
      </w:r>
      <w:r>
        <w:rPr>
          <w:sz w:val="21"/>
        </w:rPr>
        <w:t>承担。</w:t>
      </w:r>
    </w:p>
    <w:p>
      <w:pPr>
        <w:pStyle w:val="null3"/>
      </w:pPr>
      <w:r>
        <w:rPr>
          <w:sz w:val="32"/>
          <w:b/>
        </w:rPr>
        <w:t>附件三</w:t>
      </w:r>
      <w:r>
        <w:rPr>
          <w:sz w:val="32"/>
          <w:b/>
        </w:rPr>
        <w:t>名词解释</w:t>
      </w:r>
    </w:p>
    <w:p>
      <w:pPr>
        <w:pStyle w:val="null3"/>
        <w:ind w:firstLine="400"/>
        <w:jc w:val="both"/>
      </w:pPr>
      <w:r>
        <w:rPr>
          <w:sz w:val="21"/>
        </w:rPr>
        <w:t>1.交易中心：指广东电力交易中心有限责任公司。</w:t>
      </w:r>
    </w:p>
    <w:p>
      <w:pPr>
        <w:pStyle w:val="null3"/>
        <w:ind w:firstLine="400"/>
        <w:jc w:val="both"/>
      </w:pPr>
      <w:r>
        <w:rPr>
          <w:sz w:val="21"/>
        </w:rPr>
        <w:t>2.广东电力交易平台：指广东交易机构负责建设、运营、管理的电力市场技术支持交易平台。</w:t>
      </w:r>
    </w:p>
    <w:p>
      <w:pPr>
        <w:pStyle w:val="null3"/>
        <w:ind w:firstLine="400"/>
        <w:jc w:val="both"/>
      </w:pPr>
      <w:r>
        <w:rPr>
          <w:sz w:val="21"/>
        </w:rPr>
        <w:t>3.零售合同：指售电公司与零售用户签订的明确双方权利义务以及量、价、率等交易结算条款的合同。</w:t>
      </w:r>
    </w:p>
    <w:p>
      <w:pPr>
        <w:pStyle w:val="null3"/>
        <w:ind w:firstLine="400"/>
        <w:jc w:val="both"/>
      </w:pPr>
      <w:r>
        <w:rPr>
          <w:sz w:val="21"/>
        </w:rPr>
        <w:t>4.零售结算：指交易中心按照经营主体签订的电子零售合同计算并发布电能量电费结算依据，再由电网企业汇总发行及收付电费的过程。</w:t>
      </w:r>
    </w:p>
    <w:p>
      <w:pPr>
        <w:pStyle w:val="null3"/>
        <w:ind w:firstLine="400"/>
        <w:jc w:val="both"/>
      </w:pPr>
      <w:r>
        <w:rPr>
          <w:sz w:val="21"/>
        </w:rPr>
        <w:t>5.零售结算模式：指是由零售合同双方根据交易平台提供的量、价、率等字段组合生成的结算模式类型及参数值。</w:t>
      </w:r>
    </w:p>
    <w:p>
      <w:pPr>
        <w:pStyle w:val="null3"/>
        <w:ind w:firstLine="400"/>
        <w:jc w:val="both"/>
      </w:pPr>
      <w:r>
        <w:rPr>
          <w:sz w:val="21"/>
        </w:rPr>
        <w:t>6. 电能量电费：零售用户、售电公司通过电子零售合同约定的基于用户实际用电量产生的电费，包括固定电费、联动电费、煤电联动电费（可选）三部分。</w:t>
      </w:r>
    </w:p>
    <w:p>
      <w:pPr>
        <w:pStyle w:val="null3"/>
        <w:ind w:firstLine="400"/>
        <w:jc w:val="both"/>
      </w:pPr>
      <w:r>
        <w:rPr>
          <w:sz w:val="21"/>
        </w:rPr>
        <w:t>7.月度集中竞争交易综合价：指交易中心月度交易时发布的当月月度集中竞争综合价。作为零售结算模式联动价格时包含批发市场用户侧度电分摊单价。</w:t>
      </w:r>
    </w:p>
    <w:p>
      <w:pPr>
        <w:pStyle w:val="null3"/>
        <w:ind w:firstLine="400"/>
        <w:jc w:val="both"/>
      </w:pPr>
      <w:r>
        <w:rPr>
          <w:sz w:val="21"/>
        </w:rPr>
        <w:t>月度集中竞争交易综合价（含分摊）</w:t>
      </w:r>
      <w:r>
        <w:rPr>
          <w:sz w:val="21"/>
        </w:rPr>
        <w:t>=当月月度集中竞争综合价+ 当月批发市场用户侧度电分摊单价</w:t>
      </w:r>
    </w:p>
    <w:p>
      <w:pPr>
        <w:pStyle w:val="null3"/>
        <w:ind w:firstLine="400"/>
        <w:jc w:val="both"/>
      </w:pPr>
      <w:r>
        <w:rPr>
          <w:sz w:val="21"/>
        </w:rPr>
        <w:t>8.月度中长期交易综合价：根据批发市场月度双边协商交易、挂牌、月度集中竞争交易等中长期交易品种的加权平均价格。作为零售结算模式联动价格时包含批发市场用户侧度电分摊单价。</w:t>
      </w:r>
    </w:p>
    <w:p>
      <w:pPr>
        <w:pStyle w:val="null3"/>
        <w:ind w:firstLine="400"/>
        <w:jc w:val="both"/>
      </w:pPr>
      <w:r>
        <w:rPr>
          <w:sz w:val="21"/>
        </w:rPr>
        <w:t>月度中长期交易综合价（含分摊）</w:t>
      </w:r>
      <w:r>
        <w:rPr>
          <w:sz w:val="21"/>
        </w:rPr>
        <w:t>=月度集中竞争交易综合价、月度挂牌与月度双边协商等交易的加权平均价格+ 当月批发市场用户侧度电分摊单价。</w:t>
      </w:r>
    </w:p>
    <w:p>
      <w:pPr>
        <w:pStyle w:val="null3"/>
        <w:ind w:firstLine="400"/>
        <w:jc w:val="both"/>
      </w:pPr>
      <w:r>
        <w:rPr>
          <w:sz w:val="21"/>
        </w:rPr>
        <w:t>9. 日前市场月度加权平均综合价：指当月日前市场各时段统一结算点电价和对应时段市场总电量的加权平均价格。作为零售结算模式联动价格时包含批发市场用户侧度电分摊单价。</w:t>
      </w:r>
    </w:p>
    <w:p>
      <w:pPr>
        <w:pStyle w:val="null3"/>
        <w:ind w:firstLine="400"/>
        <w:jc w:val="both"/>
      </w:pPr>
      <w:r>
        <w:rPr>
          <w:sz w:val="21"/>
        </w:rPr>
        <w:t>日前市场月度综合价（含分摊）</w:t>
      </w:r>
      <w:r>
        <w:rPr>
          <w:sz w:val="21"/>
        </w:rPr>
        <w:t>= ∑（每小时实际用电量×每小时日前出清价格）/月度总实际用电量+ 当月批发市场用户侧度电分摊单价</w:t>
      </w:r>
    </w:p>
    <w:p>
      <w:pPr>
        <w:pStyle w:val="null3"/>
        <w:ind w:firstLine="400"/>
        <w:jc w:val="both"/>
      </w:pPr>
      <w:r>
        <w:rPr>
          <w:sz w:val="21"/>
        </w:rPr>
        <w:t>10.结算月批发均价：是指批发市场用户侧售电公司及批发大用户的度电支出，含年、多月、月、周、现货市场电能量支出及各项分摊返还。</w:t>
      </w:r>
    </w:p>
    <w:p>
      <w:pPr>
        <w:pStyle w:val="null3"/>
        <w:ind w:firstLine="400"/>
        <w:jc w:val="both"/>
      </w:pPr>
      <w:r>
        <w:rPr>
          <w:sz w:val="21"/>
        </w:rPr>
        <w:t>11.CECI 价格指数：是指由中国电力企业联合会与国内主要发电企业联合打造的我国发电侧电煤价格指数体系，中电联及授权或合作机构每周五 15 时（节假日暂停）通过中电联官网和微信公众号发布。</w:t>
      </w:r>
    </w:p>
    <w:p>
      <w:pPr>
        <w:pStyle w:val="null3"/>
        <w:ind w:firstLine="400"/>
        <w:jc w:val="both"/>
      </w:pPr>
      <w:r>
        <w:rPr>
          <w:sz w:val="21"/>
        </w:rPr>
        <w:t>12.平段电量结算价：是指本合同附件一约定的固定平段价格、煤电联动价格、市场联动价格加权形成的平段电量结算均价。</w:t>
      </w:r>
    </w:p>
    <w:p>
      <w:pPr>
        <w:pStyle w:val="null3"/>
        <w:ind w:firstLine="400"/>
        <w:jc w:val="both"/>
      </w:pPr>
      <w:r>
        <w:rPr>
          <w:sz w:val="21"/>
        </w:rPr>
        <w:t>平段电量结算价</w:t>
      </w:r>
      <w:r>
        <w:rPr>
          <w:sz w:val="21"/>
        </w:rPr>
        <w:t>=[（ 固定价格电量比例× 固定价格）+（联动价格电量比例×联动价格）+（ 固定价格电量比例×（结算月CECI 价格指数-合同签约月 CECI价格指数）/100（ 向零取整） ×煤电联动浮动单价）。</w:t>
      </w:r>
    </w:p>
    <w:p>
      <w:pPr>
        <w:pStyle w:val="null3"/>
      </w:pPr>
      <w:r>
        <w:rPr>
          <w:sz w:val="32"/>
          <w:b/>
        </w:rPr>
        <w:t>附件四</w:t>
      </w:r>
      <w:r>
        <w:rPr>
          <w:sz w:val="32"/>
          <w:b/>
        </w:rPr>
        <w:t>廉洁声明（可选）</w:t>
      </w:r>
    </w:p>
    <w:p>
      <w:pPr>
        <w:pStyle w:val="null3"/>
        <w:ind w:firstLine="400"/>
        <w:jc w:val="both"/>
      </w:pPr>
      <w:r>
        <w:rPr>
          <w:sz w:val="21"/>
        </w:rPr>
        <w:t>一、</w:t>
      </w:r>
      <w:r>
        <w:rPr>
          <w:sz w:val="21"/>
        </w:rPr>
        <w:t>甲乙双方发现本单位人员及其亲属（或其特定关系人）有行贿、索贿、受贿及利益输送等有关违反廉洁从业规定的倾向或行为的，应予以制止、提醒纠正、批评教育，并应向对方纪检部门举报。</w:t>
      </w:r>
    </w:p>
    <w:p>
      <w:pPr>
        <w:pStyle w:val="null3"/>
        <w:ind w:firstLine="400"/>
        <w:jc w:val="both"/>
      </w:pPr>
      <w:r>
        <w:rPr>
          <w:sz w:val="21"/>
        </w:rPr>
        <w:t>二、</w:t>
      </w:r>
      <w:r>
        <w:rPr>
          <w:sz w:val="21"/>
        </w:rPr>
        <w:t>甲乙双方廉洁举报电话和廉洁举报邮箱：</w:t>
      </w:r>
    </w:p>
    <w:p>
      <w:pPr>
        <w:pStyle w:val="null3"/>
        <w:ind w:firstLine="400"/>
        <w:jc w:val="both"/>
      </w:pPr>
      <w:r>
        <w:rPr>
          <w:sz w:val="21"/>
        </w:rPr>
        <w:t>1. 甲方廉洁举报电话：</w:t>
      </w:r>
      <w:r>
        <w:rPr>
          <w:sz w:val="21"/>
          <w:u w:val="single"/>
        </w:rPr>
        <w:t xml:space="preserve">                 </w:t>
      </w:r>
      <w:r>
        <w:rPr>
          <w:sz w:val="21"/>
        </w:rPr>
        <w:t xml:space="preserve">                 </w:t>
      </w:r>
    </w:p>
    <w:p>
      <w:pPr>
        <w:pStyle w:val="null3"/>
        <w:ind w:firstLine="400"/>
        <w:jc w:val="both"/>
      </w:pPr>
      <w:r>
        <w:rPr>
          <w:sz w:val="21"/>
        </w:rPr>
        <w:t>甲方廉洁举报邮箱：</w:t>
      </w:r>
      <w:r>
        <w:rPr>
          <w:sz w:val="21"/>
          <w:u w:val="single"/>
        </w:rPr>
        <w:t xml:space="preserve">                    </w:t>
      </w:r>
      <w:r>
        <w:rPr>
          <w:sz w:val="21"/>
        </w:rPr>
        <w:t xml:space="preserve">                       </w:t>
      </w:r>
    </w:p>
    <w:p>
      <w:pPr>
        <w:pStyle w:val="null3"/>
        <w:ind w:firstLine="400"/>
        <w:jc w:val="both"/>
      </w:pPr>
      <w:r>
        <w:rPr>
          <w:sz w:val="21"/>
        </w:rPr>
        <w:t>2. 乙方廉洁举报电话：</w:t>
      </w:r>
      <w:r>
        <w:rPr>
          <w:sz w:val="21"/>
          <w:u w:val="single"/>
        </w:rPr>
        <w:t xml:space="preserve">                 </w:t>
      </w:r>
      <w:r>
        <w:rPr>
          <w:sz w:val="21"/>
        </w:rPr>
        <w:t xml:space="preserve">                    </w:t>
      </w:r>
    </w:p>
    <w:p>
      <w:pPr>
        <w:pStyle w:val="null3"/>
        <w:ind w:firstLine="400"/>
        <w:jc w:val="both"/>
      </w:pPr>
      <w:r>
        <w:rPr>
          <w:sz w:val="21"/>
        </w:rPr>
        <w:t>乙方廉洁举报邮箱：</w:t>
      </w:r>
      <w:r>
        <w:rPr>
          <w:sz w:val="21"/>
          <w:u w:val="single"/>
        </w:rPr>
        <w:t xml:space="preserve">                    </w:t>
      </w:r>
      <w:r>
        <w:rPr>
          <w:sz w:val="21"/>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440118-2026-00564</w:t>
      </w:r>
    </w:p>
    <w:p>
      <w:pPr>
        <w:pStyle w:val="null3"/>
        <w:jc w:val="center"/>
        <w:outlineLvl w:val="3"/>
      </w:pPr>
      <w:r>
        <w:rPr>
          <w:sz w:val="24"/>
          <w:b/>
        </w:rPr>
        <w:t>采购项目编号：</w:t>
      </w:r>
      <w:r>
        <w:rPr>
          <w:sz w:val="24"/>
          <w:b/>
        </w:rPr>
        <w:t>FCC2026-0006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广东城华工程咨询有限公司</w:t>
      </w:r>
    </w:p>
    <w:p>
      <w:pPr>
        <w:pStyle w:val="null3"/>
        <w:ind w:firstLine="480"/>
      </w:pPr>
      <w:r>
        <w:rPr/>
        <w:t xml:space="preserve"> 你方组织的</w:t>
      </w:r>
      <w:r>
        <w:rPr>
          <w:u w:val="single"/>
        </w:rPr>
        <w:t>“</w:t>
      </w:r>
      <w:r>
        <w:rPr>
          <w:u w:val="single"/>
        </w:rPr>
        <w:t>广州市增城区中医医院2026年度市场化购电项目</w:t>
      </w:r>
      <w:r>
        <w:rPr>
          <w:u w:val="single"/>
        </w:rPr>
        <w:t>”</w:t>
      </w:r>
      <w:r>
        <w:rPr/>
        <w:t>项目的竞争性磋商[采购项目编号为：</w:t>
      </w:r>
      <w:r>
        <w:rPr>
          <w:u w:val="single"/>
        </w:rPr>
        <w:t>FCC2026-0006</w:t>
      </w:r>
      <w:r>
        <w:rPr/>
        <w:t>]，我方愿参与响应。</w:t>
      </w:r>
    </w:p>
    <w:p>
      <w:pPr>
        <w:pStyle w:val="null3"/>
        <w:ind w:firstLine="480"/>
      </w:pPr>
      <w:r>
        <w:rPr/>
        <w:t>我方确认收到贵方提供的</w:t>
      </w:r>
      <w:r>
        <w:rPr>
          <w:u w:val="single"/>
        </w:rPr>
        <w:t>“</w:t>
      </w:r>
      <w:r>
        <w:rPr>
          <w:u w:val="single"/>
        </w:rPr>
        <w:t>广州市增城区中医医院2026年度市场化购电项目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广东城华工程咨询有限公司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广州市增城区中医医院2026年度市场化购电项目</w:t>
      </w:r>
      <w:r>
        <w:rPr/>
        <w:t>”项目采购[采购项目编号为</w:t>
      </w:r>
      <w:r>
        <w:rPr/>
        <w:t>FCC2026-0006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广东城华工程咨询有限公司</w:t>
      </w:r>
    </w:p>
    <w:p>
      <w:pPr>
        <w:pStyle w:val="null3"/>
        <w:ind w:firstLine="480"/>
      </w:pPr>
      <w:r>
        <w:rPr/>
        <w:t>我单位参加贵公司组织的</w:t>
      </w:r>
      <w:r>
        <w:rPr/>
        <w:t>广州市增城区中医医院2026年度市场化购电项目</w:t>
      </w:r>
      <w:r>
        <w:rPr/>
        <w:t>（采购项目编号：</w:t>
      </w:r>
      <w:r>
        <w:rPr/>
        <w:t>FCC2026-0006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